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6DFD" w14:textId="538FB722" w:rsidR="005E4D4F" w:rsidRPr="005E4D4F" w:rsidRDefault="00247DDF" w:rsidP="005E4D4F">
      <w:pPr>
        <w:pStyle w:val="Abstract-Titel"/>
      </w:pPr>
      <w:r>
        <w:t>Verbrauchsoptimierung in Energiegemeinschaften durch Handlungsempfehlungen</w:t>
      </w:r>
    </w:p>
    <w:p w14:paraId="05565290" w14:textId="3AAFB06B" w:rsidR="00BF05FA" w:rsidRDefault="00625821" w:rsidP="00A156E4">
      <w:pPr>
        <w:pStyle w:val="AutorenOrganisation"/>
      </w:pPr>
      <w:r>
        <w:t xml:space="preserve">Themenbereich </w:t>
      </w:r>
      <w:r w:rsidRPr="00625821">
        <w:t>(4) Aktive Endkunden-/</w:t>
      </w:r>
      <w:proofErr w:type="spellStart"/>
      <w:r w:rsidRPr="00625821">
        <w:t>Prosumerpartizipation</w:t>
      </w:r>
      <w:proofErr w:type="spellEnd"/>
      <w:r w:rsidRPr="00625821">
        <w:t xml:space="preserve"> &amp; Gebäudesektor</w:t>
      </w:r>
    </w:p>
    <w:p w14:paraId="5BAA1502" w14:textId="2314765F" w:rsidR="005E4D4F" w:rsidRPr="005E4D4F" w:rsidRDefault="00AF0002" w:rsidP="00A156E4">
      <w:pPr>
        <w:pStyle w:val="AutorenOrganisation"/>
      </w:pPr>
      <w:r>
        <w:t>Lukas</w:t>
      </w:r>
      <w:r w:rsidR="005E4D4F" w:rsidRPr="005E4D4F">
        <w:t xml:space="preserve"> </w:t>
      </w:r>
      <w:r w:rsidR="00877B07">
        <w:t>GAISBERGER</w:t>
      </w:r>
      <w:r w:rsidR="00CF7ED3">
        <w:rPr>
          <w:rStyle w:val="FootnoteReference"/>
        </w:rPr>
        <w:footnoteReference w:id="1"/>
      </w:r>
      <w:r w:rsidR="005E4D4F" w:rsidRPr="00010E92">
        <w:rPr>
          <w:vertAlign w:val="superscript"/>
        </w:rPr>
        <w:footnoteReference w:id="2"/>
      </w:r>
      <w:r w:rsidR="00A156E4" w:rsidRPr="00A156E4">
        <w:rPr>
          <w:vertAlign w:val="superscript"/>
        </w:rPr>
        <w:t>(1</w:t>
      </w:r>
      <w:r w:rsidR="00A156E4">
        <w:rPr>
          <w:vertAlign w:val="superscript"/>
        </w:rPr>
        <w:t>)</w:t>
      </w:r>
    </w:p>
    <w:p w14:paraId="26F4DE7F" w14:textId="010FD7CF"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AF6EDB" w:rsidRPr="00AF6EDB">
        <w:t xml:space="preserve"> Fachhochschule Oberösterreich, Energieforschungsgruppe ASIC</w:t>
      </w:r>
    </w:p>
    <w:p w14:paraId="1B086FC7" w14:textId="77777777" w:rsidR="00A07737" w:rsidRPr="005E4D4F" w:rsidRDefault="00A07737" w:rsidP="00FB69AE">
      <w:pPr>
        <w:rPr>
          <w:lang w:val="de-AT"/>
        </w:rPr>
      </w:pPr>
    </w:p>
    <w:p w14:paraId="2DB4DD44" w14:textId="77777777" w:rsidR="005E4D4F" w:rsidRPr="005E4D4F" w:rsidRDefault="005E4D4F" w:rsidP="005E4D4F">
      <w:pPr>
        <w:pStyle w:val="Ueberschrift"/>
      </w:pPr>
      <w:r w:rsidRPr="005E4D4F">
        <w:t>Motivation und zentrale Fragestellung</w:t>
      </w:r>
    </w:p>
    <w:p w14:paraId="16CB56A0" w14:textId="11C6E8AF" w:rsidR="001A71B9" w:rsidRDefault="001A71B9" w:rsidP="001A71B9"/>
    <w:p w14:paraId="03B41E59" w14:textId="63AB12BA" w:rsidR="00742571" w:rsidRDefault="001A71B9" w:rsidP="001A71B9">
      <w:r>
        <w:t xml:space="preserve">Energiegemeinschaften wurden von der europäischen Kommission mit dem Ziel </w:t>
      </w:r>
      <w:r w:rsidRPr="00883DB7">
        <w:t>eingeführt</w:t>
      </w:r>
      <w:r w:rsidR="006E4250" w:rsidRPr="00883DB7">
        <w:t>,</w:t>
      </w:r>
      <w:r w:rsidRPr="00883DB7">
        <w:t xml:space="preserve"> d</w:t>
      </w:r>
      <w:r>
        <w:t xml:space="preserve">er Bevölkerung die aktive Beteiligung am Energiesystem zu ermöglichen. Die Bildung von Energiegemeinschaften hat zwar keinen direkten Einfluss auf die physikalischen Energieflüsse, jedoch </w:t>
      </w:r>
      <w:r w:rsidR="007B7CD7">
        <w:t>können</w:t>
      </w:r>
      <w:r>
        <w:t xml:space="preserve"> ein Gemeinschaftsgefühl sowie </w:t>
      </w:r>
      <w:r w:rsidR="007B7CD7">
        <w:t xml:space="preserve">vorteilhafte innergemeinschaftliche Tarife die </w:t>
      </w:r>
      <w:proofErr w:type="spellStart"/>
      <w:r w:rsidR="007B7CD7">
        <w:t>Teilnehmer:innen</w:t>
      </w:r>
      <w:proofErr w:type="spellEnd"/>
      <w:r w:rsidR="007B7CD7">
        <w:t xml:space="preserve"> zur vermehrten Nutzung von lokal erzeugter Energie </w:t>
      </w:r>
      <w:r w:rsidR="00742571">
        <w:t>motivieren. Um diese Ambitionen zu fördern, werden Energieservices benötigt.</w:t>
      </w:r>
    </w:p>
    <w:p w14:paraId="71E55D98" w14:textId="66472598" w:rsidR="008C2174" w:rsidRDefault="00EB54CF" w:rsidP="008C2174">
      <w:r w:rsidRPr="00696A1F">
        <w:rPr>
          <w:noProof/>
          <w:sz w:val="24"/>
          <w:lang w:val="de-AT" w:eastAsia="de-AT"/>
        </w:rPr>
        <w:drawing>
          <wp:anchor distT="0" distB="0" distL="114300" distR="114300" simplePos="0" relativeHeight="251660288" behindDoc="0" locked="0" layoutInCell="1" allowOverlap="1" wp14:anchorId="0D486BC1" wp14:editId="1E58C25A">
            <wp:simplePos x="0" y="0"/>
            <wp:positionH relativeFrom="margin">
              <wp:posOffset>3422015</wp:posOffset>
            </wp:positionH>
            <wp:positionV relativeFrom="paragraph">
              <wp:posOffset>371475</wp:posOffset>
            </wp:positionV>
            <wp:extent cx="2330450" cy="4251325"/>
            <wp:effectExtent l="0" t="0" r="0" b="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0450" cy="425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174">
        <w:t>Daher schlagen wir einen neuartigen Ansatz für die Optimierung des Betriebs von Energiegemeinschaften vor, indem individuelle Day-</w:t>
      </w:r>
      <w:proofErr w:type="spellStart"/>
      <w:r w:rsidR="008C2174">
        <w:t>Ahead</w:t>
      </w:r>
      <w:proofErr w:type="spellEnd"/>
      <w:r w:rsidR="008C2174">
        <w:t>-Lastverschiebungsempfehlungen</w:t>
      </w:r>
      <w:r w:rsidR="00397445">
        <w:t xml:space="preserve"> auf Geräteebene, basierend auf Last- und Erzeugungsprognosen,</w:t>
      </w:r>
      <w:r w:rsidR="008C2174">
        <w:t xml:space="preserve"> für die Mitglieder berechnet werden.</w:t>
      </w:r>
    </w:p>
    <w:p w14:paraId="4FD6FDC5" w14:textId="77777777" w:rsidR="005E4D4F" w:rsidRPr="005E4D4F" w:rsidRDefault="005E4D4F" w:rsidP="00227125"/>
    <w:p w14:paraId="6FD747F3" w14:textId="0432D2B7" w:rsidR="005E4D4F" w:rsidRDefault="005E4D4F" w:rsidP="00625821">
      <w:pPr>
        <w:pStyle w:val="Ueberschrift"/>
      </w:pPr>
      <w:r w:rsidRPr="005E4D4F">
        <w:t>Methodische Vorgangsweise</w:t>
      </w:r>
    </w:p>
    <w:p w14:paraId="1DB53A31" w14:textId="2381F343" w:rsidR="008C2174" w:rsidRDefault="008C2174" w:rsidP="00227125"/>
    <w:p w14:paraId="53911344" w14:textId="7FA71871" w:rsidR="008C2174" w:rsidRDefault="008C2174" w:rsidP="008C2174">
      <w:r>
        <w:t xml:space="preserve">Demand Side Management (DSM) durch Lastverschiebung in Haushalten und Haushaltsgruppen wurde in der Vergangenheit ausgiebig </w:t>
      </w:r>
      <w:r w:rsidRPr="00B6377F">
        <w:t xml:space="preserve">untersucht. </w:t>
      </w:r>
      <w:proofErr w:type="spellStart"/>
      <w:r w:rsidRPr="00B6377F">
        <w:t>Sharda</w:t>
      </w:r>
      <w:proofErr w:type="spellEnd"/>
      <w:r w:rsidRPr="00B6377F">
        <w:t xml:space="preserve"> et al. [</w:t>
      </w:r>
      <w:r w:rsidR="00B6377F" w:rsidRPr="00B6377F">
        <w:t>1</w:t>
      </w:r>
      <w:r w:rsidRPr="00B6377F">
        <w:t>] stellen fest, dass die lineare Programmierung (LP) und</w:t>
      </w:r>
      <w:r>
        <w:t xml:space="preserve"> die gemischt-ganzzahlige lineare Programmierung (MILP) häufig für diesen Zweck verwendet werden und sich in zahlreichen Studien als schnell und zuverlässig erwiesen haben. Auch in der vorliegenden Arbeit wird ein auf MILP basierender Algorithmus implementiert. Neben den bereits erwähnten Vorteilen sind das transparente Verhalten und die nachvollziehbaren Ergebnisse ein großer Vorteil dieser Methode.</w:t>
      </w:r>
    </w:p>
    <w:p w14:paraId="50AAD821" w14:textId="3479C2D0" w:rsidR="008C2174" w:rsidRDefault="00C4581A" w:rsidP="00227125">
      <w:r w:rsidRPr="00696A1F">
        <w:rPr>
          <w:noProof/>
          <w:sz w:val="24"/>
          <w:lang w:val="de-AT" w:eastAsia="de-AT"/>
        </w:rPr>
        <mc:AlternateContent>
          <mc:Choice Requires="wps">
            <w:drawing>
              <wp:anchor distT="0" distB="0" distL="114300" distR="114300" simplePos="0" relativeHeight="251659264" behindDoc="0" locked="0" layoutInCell="1" allowOverlap="1" wp14:anchorId="5387C53F" wp14:editId="7BFA8B84">
                <wp:simplePos x="0" y="0"/>
                <wp:positionH relativeFrom="margin">
                  <wp:posOffset>3430270</wp:posOffset>
                </wp:positionH>
                <wp:positionV relativeFrom="paragraph">
                  <wp:posOffset>1616710</wp:posOffset>
                </wp:positionV>
                <wp:extent cx="2321560" cy="1043340"/>
                <wp:effectExtent l="0" t="0" r="2540" b="4445"/>
                <wp:wrapSquare wrapText="bothSides"/>
                <wp:docPr id="4" name="Text Box 4"/>
                <wp:cNvGraphicFramePr/>
                <a:graphic xmlns:a="http://schemas.openxmlformats.org/drawingml/2006/main">
                  <a:graphicData uri="http://schemas.microsoft.com/office/word/2010/wordprocessingShape">
                    <wps:wsp>
                      <wps:cNvSpPr txBox="1"/>
                      <wps:spPr>
                        <a:xfrm>
                          <a:off x="0" y="0"/>
                          <a:ext cx="2321560" cy="1043340"/>
                        </a:xfrm>
                        <a:prstGeom prst="rect">
                          <a:avLst/>
                        </a:prstGeom>
                        <a:solidFill>
                          <a:prstClr val="white"/>
                        </a:solidFill>
                        <a:ln>
                          <a:noFill/>
                        </a:ln>
                      </wps:spPr>
                      <wps:txbx>
                        <w:txbxContent>
                          <w:p w14:paraId="24DE44AF" w14:textId="2A82338D" w:rsidR="008C2174" w:rsidRPr="00C4581A" w:rsidRDefault="00B6377F" w:rsidP="00B6377F">
                            <w:pPr>
                              <w:pStyle w:val="Caption"/>
                              <w:keepNext/>
                              <w:jc w:val="right"/>
                              <w:rPr>
                                <w:rFonts w:ascii="Arial" w:hAnsi="Arial"/>
                                <w:color w:val="auto"/>
                                <w:sz w:val="20"/>
                                <w:szCs w:val="24"/>
                                <w:lang w:val="de-DE" w:eastAsia="ko-KR"/>
                              </w:rPr>
                            </w:pPr>
                            <w:bookmarkStart w:id="0" w:name="_Ref119331905"/>
                            <w:r w:rsidRPr="00B6377F">
                              <w:rPr>
                                <w:rFonts w:ascii="Arial" w:hAnsi="Arial"/>
                                <w:color w:val="auto"/>
                                <w:sz w:val="20"/>
                                <w:szCs w:val="24"/>
                                <w:lang w:val="de-DE" w:eastAsia="ko-KR"/>
                              </w:rPr>
                              <w:t xml:space="preserve">Abbildung </w:t>
                            </w:r>
                            <w:r w:rsidRPr="00B6377F">
                              <w:rPr>
                                <w:rFonts w:ascii="Arial" w:hAnsi="Arial"/>
                                <w:color w:val="auto"/>
                                <w:sz w:val="20"/>
                                <w:szCs w:val="24"/>
                                <w:lang w:val="de-DE" w:eastAsia="ko-KR"/>
                              </w:rPr>
                              <w:fldChar w:fldCharType="begin"/>
                            </w:r>
                            <w:r w:rsidRPr="00B6377F">
                              <w:rPr>
                                <w:rFonts w:ascii="Arial" w:hAnsi="Arial"/>
                                <w:color w:val="auto"/>
                                <w:sz w:val="20"/>
                                <w:szCs w:val="24"/>
                                <w:lang w:val="de-DE" w:eastAsia="ko-KR"/>
                              </w:rPr>
                              <w:instrText xml:space="preserve"> SEQ Abbildung \* ARABIC </w:instrText>
                            </w:r>
                            <w:r w:rsidRPr="00B6377F">
                              <w:rPr>
                                <w:rFonts w:ascii="Arial" w:hAnsi="Arial"/>
                                <w:color w:val="auto"/>
                                <w:sz w:val="20"/>
                                <w:szCs w:val="24"/>
                                <w:lang w:val="de-DE" w:eastAsia="ko-KR"/>
                              </w:rPr>
                              <w:fldChar w:fldCharType="separate"/>
                            </w:r>
                            <w:r w:rsidRPr="00B6377F">
                              <w:rPr>
                                <w:rFonts w:ascii="Arial" w:hAnsi="Arial"/>
                                <w:color w:val="auto"/>
                                <w:sz w:val="20"/>
                                <w:szCs w:val="24"/>
                                <w:lang w:val="de-DE" w:eastAsia="ko-KR"/>
                              </w:rPr>
                              <w:t>1</w:t>
                            </w:r>
                            <w:r w:rsidRPr="00B6377F">
                              <w:rPr>
                                <w:rFonts w:ascii="Arial" w:hAnsi="Arial"/>
                                <w:color w:val="auto"/>
                                <w:sz w:val="20"/>
                                <w:szCs w:val="24"/>
                                <w:lang w:val="de-DE" w:eastAsia="ko-KR"/>
                              </w:rPr>
                              <w:fldChar w:fldCharType="end"/>
                            </w:r>
                            <w:bookmarkEnd w:id="0"/>
                            <w:r w:rsidRPr="00B6377F">
                              <w:rPr>
                                <w:rFonts w:ascii="Arial" w:hAnsi="Arial"/>
                                <w:color w:val="auto"/>
                                <w:sz w:val="20"/>
                                <w:szCs w:val="24"/>
                                <w:lang w:val="de-DE" w:eastAsia="ko-KR"/>
                              </w:rPr>
                              <w:t>:</w:t>
                            </w:r>
                            <w:r>
                              <w:rPr>
                                <w:rFonts w:ascii="Arial" w:hAnsi="Arial"/>
                                <w:color w:val="auto"/>
                                <w:sz w:val="20"/>
                                <w:szCs w:val="24"/>
                                <w:lang w:val="de-DE" w:eastAsia="ko-KR"/>
                              </w:rPr>
                              <w:t xml:space="preserve"> </w:t>
                            </w:r>
                            <w:r w:rsidR="00C4581A" w:rsidRPr="00C4581A">
                              <w:rPr>
                                <w:rFonts w:ascii="Arial" w:hAnsi="Arial"/>
                                <w:color w:val="auto"/>
                                <w:sz w:val="20"/>
                                <w:szCs w:val="24"/>
                                <w:lang w:val="de-DE" w:eastAsia="ko-KR"/>
                              </w:rPr>
                              <w:t xml:space="preserve">Schematische Darstellung einer Energiegemeinschaft mit zwei Haushalten, von denen einer ein </w:t>
                            </w:r>
                            <w:proofErr w:type="spellStart"/>
                            <w:r w:rsidR="00C4581A" w:rsidRPr="00C4581A">
                              <w:rPr>
                                <w:rFonts w:ascii="Arial" w:hAnsi="Arial"/>
                                <w:color w:val="auto"/>
                                <w:sz w:val="20"/>
                                <w:szCs w:val="24"/>
                                <w:lang w:val="de-DE" w:eastAsia="ko-KR"/>
                              </w:rPr>
                              <w:t>Prosumer</w:t>
                            </w:r>
                            <w:proofErr w:type="spellEnd"/>
                            <w:r w:rsidR="00C4581A" w:rsidRPr="00C4581A">
                              <w:rPr>
                                <w:rFonts w:ascii="Arial" w:hAnsi="Arial"/>
                                <w:color w:val="auto"/>
                                <w:sz w:val="20"/>
                                <w:szCs w:val="24"/>
                                <w:lang w:val="de-DE" w:eastAsia="ko-KR"/>
                              </w:rPr>
                              <w:t xml:space="preserve"> (PV-Anlage) und der andere ein Verbraucher mit reiner Last ist. Die Pfeile zeigen mögliche (virtuelle) Strom- bzw. Zahlungsflüsse im System.</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7C53F" id="_x0000_t202" coordsize="21600,21600" o:spt="202" path="m,l,21600r21600,l21600,xe">
                <v:stroke joinstyle="miter"/>
                <v:path gradientshapeok="t" o:connecttype="rect"/>
              </v:shapetype>
              <v:shape id="Text Box 4" o:spid="_x0000_s1026" type="#_x0000_t202" style="position:absolute;left:0;text-align:left;margin-left:270.1pt;margin-top:127.3pt;width:182.8pt;height:8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vhHwIAAEAEAAAOAAAAZHJzL2Uyb0RvYy54bWysU8Fu2zAMvQ/YPwi6L3aSriuMOEWWIsOA&#10;oC2QDj0rshQLkEVNUmJnXz9KtpOt22nYRaZEmuR7fFzcd40mJ+G8AlPS6SSnRBgOlTKHkn572Xy4&#10;o8QHZiqmwYiSnoWn98v37xatLcQMatCVcASTGF+0tqR1CLbIMs9r0TA/ASsMOiW4hgW8ukNWOdZi&#10;9kZnszy/zVpwlXXAhff4+tA76TLll1Lw8CSlF4HokmJvIZ0unft4ZssFKw6O2VrxoQ32D100TBks&#10;ekn1wAIjR6f+SNUo7sCDDBMOTQZSKi4SBkQzzd+g2dXMioQFyfH2QpP/f2n542lnnx0J3WfocICR&#10;kNb6wuNjxNNJ18QvdkrQjxSeL7SJLhCOj7P5bPrxFl0cfdP8Zj6/ScRm19+t8+GLgIZEo6QO55Lo&#10;YqetD1gSQ8eQWM2DVtVGaR0v0bHWjpwYzrCtVRCxSfzjtyhtYqyB+Ffvji/ZFUu0QrfvBoB7qM6I&#10;20EvCW/5RmGhLfPhmTnUAOJBXYcnPKSGtqQwWJTU4H787T3G42jQS0mLmiqp/35kTlCivxoc2idU&#10;bBRhuqDhRmM/GubYrAFhTnFrLE9mjAt6NKWD5hUlv4qV0MUMx3olDaO5Dr26cWW4WK1SEErNsrA1&#10;O8tj6pHUl+6VOTuMJOA0H2FUHCveTKaP7SleHQNIlcYWSe2ZHLhGmabZDCsV9+DXe4q6Lv7yJwAA&#10;AP//AwBQSwMEFAAGAAgAAAAhAAwO3QPiAAAACwEAAA8AAABkcnMvZG93bnJldi54bWxMj8FOwzAQ&#10;RO9I/IO1SNyo3Sip2pBNVSoVLrSCgsTVibeJRWxHsdMGvh5zguNqn2beFOvJdOxMg9fOIsxnAhjZ&#10;2iltG4T3t93dEpgP0irZOUsIX+RhXV5fFTJX7mJf6XwMDYsh1ucSoQ2hzzn3dUtG+pnrycbfyQ1G&#10;hngODVeDvMRw0/FEiAU3UtvY0Mqeti3Vn8fRIIxptR9Oe3FoHp+2u4/v582D1i+ItzfT5h5YoCn8&#10;wfCrH9WhjE6VG63yrEPIUpFEFCHJ0gWwSKxEFsdUCOl8uQJeFvz/hvIHAAD//wMAUEsBAi0AFAAG&#10;AAgAAAAhALaDOJL+AAAA4QEAABMAAAAAAAAAAAAAAAAAAAAAAFtDb250ZW50X1R5cGVzXS54bWxQ&#10;SwECLQAUAAYACAAAACEAOP0h/9YAAACUAQAACwAAAAAAAAAAAAAAAAAvAQAAX3JlbHMvLnJlbHNQ&#10;SwECLQAUAAYACAAAACEA8ERr4R8CAABABAAADgAAAAAAAAAAAAAAAAAuAgAAZHJzL2Uyb0RvYy54&#10;bWxQSwECLQAUAAYACAAAACEADA7dA+IAAAALAQAADwAAAAAAAAAAAAAAAAB5BAAAZHJzL2Rvd25y&#10;ZXYueG1sUEsFBgAAAAAEAAQA8wAAAIgFAAAAAA==&#10;" stroked="f">
                <v:textbox inset="2mm,0,0,0">
                  <w:txbxContent>
                    <w:p w14:paraId="24DE44AF" w14:textId="2A82338D" w:rsidR="008C2174" w:rsidRPr="00C4581A" w:rsidRDefault="00B6377F" w:rsidP="00B6377F">
                      <w:pPr>
                        <w:pStyle w:val="Caption"/>
                        <w:keepNext/>
                        <w:jc w:val="right"/>
                        <w:rPr>
                          <w:rFonts w:ascii="Arial" w:hAnsi="Arial"/>
                          <w:color w:val="auto"/>
                          <w:sz w:val="20"/>
                          <w:szCs w:val="24"/>
                          <w:lang w:val="de-DE" w:eastAsia="ko-KR"/>
                        </w:rPr>
                      </w:pPr>
                      <w:bookmarkStart w:id="1" w:name="_Ref119331905"/>
                      <w:r w:rsidRPr="00B6377F">
                        <w:rPr>
                          <w:rFonts w:ascii="Arial" w:hAnsi="Arial"/>
                          <w:color w:val="auto"/>
                          <w:sz w:val="20"/>
                          <w:szCs w:val="24"/>
                          <w:lang w:val="de-DE" w:eastAsia="ko-KR"/>
                        </w:rPr>
                        <w:t xml:space="preserve">Abbildung </w:t>
                      </w:r>
                      <w:r w:rsidRPr="00B6377F">
                        <w:rPr>
                          <w:rFonts w:ascii="Arial" w:hAnsi="Arial"/>
                          <w:color w:val="auto"/>
                          <w:sz w:val="20"/>
                          <w:szCs w:val="24"/>
                          <w:lang w:val="de-DE" w:eastAsia="ko-KR"/>
                        </w:rPr>
                        <w:fldChar w:fldCharType="begin"/>
                      </w:r>
                      <w:r w:rsidRPr="00B6377F">
                        <w:rPr>
                          <w:rFonts w:ascii="Arial" w:hAnsi="Arial"/>
                          <w:color w:val="auto"/>
                          <w:sz w:val="20"/>
                          <w:szCs w:val="24"/>
                          <w:lang w:val="de-DE" w:eastAsia="ko-KR"/>
                        </w:rPr>
                        <w:instrText xml:space="preserve"> SEQ Abbildung \* ARABIC </w:instrText>
                      </w:r>
                      <w:r w:rsidRPr="00B6377F">
                        <w:rPr>
                          <w:rFonts w:ascii="Arial" w:hAnsi="Arial"/>
                          <w:color w:val="auto"/>
                          <w:sz w:val="20"/>
                          <w:szCs w:val="24"/>
                          <w:lang w:val="de-DE" w:eastAsia="ko-KR"/>
                        </w:rPr>
                        <w:fldChar w:fldCharType="separate"/>
                      </w:r>
                      <w:r w:rsidRPr="00B6377F">
                        <w:rPr>
                          <w:rFonts w:ascii="Arial" w:hAnsi="Arial"/>
                          <w:color w:val="auto"/>
                          <w:sz w:val="20"/>
                          <w:szCs w:val="24"/>
                          <w:lang w:val="de-DE" w:eastAsia="ko-KR"/>
                        </w:rPr>
                        <w:t>1</w:t>
                      </w:r>
                      <w:r w:rsidRPr="00B6377F">
                        <w:rPr>
                          <w:rFonts w:ascii="Arial" w:hAnsi="Arial"/>
                          <w:color w:val="auto"/>
                          <w:sz w:val="20"/>
                          <w:szCs w:val="24"/>
                          <w:lang w:val="de-DE" w:eastAsia="ko-KR"/>
                        </w:rPr>
                        <w:fldChar w:fldCharType="end"/>
                      </w:r>
                      <w:bookmarkEnd w:id="1"/>
                      <w:r w:rsidRPr="00B6377F">
                        <w:rPr>
                          <w:rFonts w:ascii="Arial" w:hAnsi="Arial"/>
                          <w:color w:val="auto"/>
                          <w:sz w:val="20"/>
                          <w:szCs w:val="24"/>
                          <w:lang w:val="de-DE" w:eastAsia="ko-KR"/>
                        </w:rPr>
                        <w:t>:</w:t>
                      </w:r>
                      <w:r>
                        <w:rPr>
                          <w:rFonts w:ascii="Arial" w:hAnsi="Arial"/>
                          <w:color w:val="auto"/>
                          <w:sz w:val="20"/>
                          <w:szCs w:val="24"/>
                          <w:lang w:val="de-DE" w:eastAsia="ko-KR"/>
                        </w:rPr>
                        <w:t xml:space="preserve"> </w:t>
                      </w:r>
                      <w:r w:rsidR="00C4581A" w:rsidRPr="00C4581A">
                        <w:rPr>
                          <w:rFonts w:ascii="Arial" w:hAnsi="Arial"/>
                          <w:color w:val="auto"/>
                          <w:sz w:val="20"/>
                          <w:szCs w:val="24"/>
                          <w:lang w:val="de-DE" w:eastAsia="ko-KR"/>
                        </w:rPr>
                        <w:t xml:space="preserve">Schematische Darstellung einer Energiegemeinschaft mit zwei Haushalten, von denen einer ein </w:t>
                      </w:r>
                      <w:proofErr w:type="spellStart"/>
                      <w:r w:rsidR="00C4581A" w:rsidRPr="00C4581A">
                        <w:rPr>
                          <w:rFonts w:ascii="Arial" w:hAnsi="Arial"/>
                          <w:color w:val="auto"/>
                          <w:sz w:val="20"/>
                          <w:szCs w:val="24"/>
                          <w:lang w:val="de-DE" w:eastAsia="ko-KR"/>
                        </w:rPr>
                        <w:t>Prosumer</w:t>
                      </w:r>
                      <w:proofErr w:type="spellEnd"/>
                      <w:r w:rsidR="00C4581A" w:rsidRPr="00C4581A">
                        <w:rPr>
                          <w:rFonts w:ascii="Arial" w:hAnsi="Arial"/>
                          <w:color w:val="auto"/>
                          <w:sz w:val="20"/>
                          <w:szCs w:val="24"/>
                          <w:lang w:val="de-DE" w:eastAsia="ko-KR"/>
                        </w:rPr>
                        <w:t xml:space="preserve"> (PV-Anlage) und der andere ein Verbraucher mit reiner Last ist. Die Pfeile zeigen mögliche (virtuelle) Strom- bzw. Zahlungsflüsse im System.</w:t>
                      </w:r>
                    </w:p>
                  </w:txbxContent>
                </v:textbox>
                <w10:wrap type="square" anchorx="margin"/>
              </v:shape>
            </w:pict>
          </mc:Fallback>
        </mc:AlternateContent>
      </w:r>
      <w:r w:rsidR="00EB54CF" w:rsidRPr="00EB54CF">
        <w:t xml:space="preserve">Die Struktur des linearen Problems ist in </w:t>
      </w:r>
      <w:r w:rsidR="00AF0002">
        <w:fldChar w:fldCharType="begin"/>
      </w:r>
      <w:r w:rsidR="00AF0002">
        <w:instrText xml:space="preserve"> REF _Ref119331905 \h </w:instrText>
      </w:r>
      <w:r w:rsidR="00AF0002">
        <w:fldChar w:fldCharType="separate"/>
      </w:r>
      <w:r w:rsidR="00AF0002" w:rsidRPr="00B6377F">
        <w:t>Abbildung 1</w:t>
      </w:r>
      <w:r w:rsidR="00AF0002">
        <w:fldChar w:fldCharType="end"/>
      </w:r>
      <w:r w:rsidR="00EB54CF" w:rsidRPr="00EB54CF">
        <w:t xml:space="preserve"> dargestellt, die eine beispielhafte Energiegemeinschaft mit zwei Haushalten zeigt. Haushalt X ist ein </w:t>
      </w:r>
      <w:proofErr w:type="spellStart"/>
      <w:r w:rsidR="00EB54CF" w:rsidRPr="00EB54CF">
        <w:t>Prosumer</w:t>
      </w:r>
      <w:proofErr w:type="spellEnd"/>
      <w:r w:rsidR="00EB54CF" w:rsidRPr="00EB54CF">
        <w:t>, der nicht nur aus dem Netz und der Gemeinschaft verbraucht, sondern auch zu bestimmten Zeiten überschüssigen Strom produziert, der dann innerhalb der Gemeinschaft genutzt werden kann. Das Feld "</w:t>
      </w:r>
      <w:r w:rsidR="00EB54CF">
        <w:t>Community</w:t>
      </w:r>
      <w:r w:rsidR="00EB54CF" w:rsidRPr="00EB54CF">
        <w:t xml:space="preserve">" stellt den virtuellen Knoten dar, an dem jeder Nutzer innerhalb der Gemeinschaft den überschüssigen Strom einspeist oder den von anderen Mitgliedern der Gemeinschaft bereitgestellten Strom verbraucht. </w:t>
      </w:r>
      <w:r w:rsidR="00EB54CF">
        <w:t>Überschuss im „Community“-Knoten wird in das öffentliche Stromnetz „</w:t>
      </w:r>
      <w:proofErr w:type="spellStart"/>
      <w:r w:rsidR="00EB54CF">
        <w:t>Grid</w:t>
      </w:r>
      <w:proofErr w:type="spellEnd"/>
      <w:r w:rsidR="00EB54CF">
        <w:t xml:space="preserve">“ eingespeist. </w:t>
      </w:r>
      <w:r w:rsidR="00EB54CF" w:rsidRPr="00EB54CF">
        <w:t xml:space="preserve">Natürlich fungiert das </w:t>
      </w:r>
      <w:r w:rsidR="00EB54CF">
        <w:t>Netz</w:t>
      </w:r>
      <w:r w:rsidR="00EB54CF" w:rsidRPr="00EB54CF">
        <w:t xml:space="preserve"> als "unbegrenzte" Stromquelle und -senke. Der Verkauf von Überschussstrom </w:t>
      </w:r>
      <w:r w:rsidR="00EB54CF">
        <w:t>am</w:t>
      </w:r>
      <w:r w:rsidR="00EB54CF" w:rsidRPr="00EB54CF">
        <w:t xml:space="preserve"> Strommarkt ist </w:t>
      </w:r>
      <w:r w:rsidR="00EB54CF">
        <w:t xml:space="preserve">in diesem Modell, entsprechend den realen Gegebenheiten, </w:t>
      </w:r>
      <w:r w:rsidR="00EB54CF" w:rsidRPr="00EB54CF">
        <w:t xml:space="preserve">nur als Gemeinschaft möglich. Daher kann ein Haushalt, der Teil der Gemeinschaft ist, überschüssige Energie nicht direkt an </w:t>
      </w:r>
      <w:r w:rsidR="00EB54CF" w:rsidRPr="00EB54CF">
        <w:lastRenderedPageBreak/>
        <w:t xml:space="preserve">einen Stromversorger verkaufen. Eine weitere wichtige </w:t>
      </w:r>
      <w:r w:rsidR="00EB54CF">
        <w:t>Randbedingung</w:t>
      </w:r>
      <w:r w:rsidR="00EB54CF" w:rsidRPr="00EB54CF">
        <w:t xml:space="preserve"> ist, dass jedes Mitglied (finanziell) besser abschneiden muss als ohne Gemeinschaft.</w:t>
      </w:r>
    </w:p>
    <w:p w14:paraId="30F02C31" w14:textId="77777777" w:rsidR="005E4D4F" w:rsidRPr="005E4D4F" w:rsidRDefault="005E4D4F" w:rsidP="00227125"/>
    <w:p w14:paraId="08DC1178" w14:textId="4EDCB38C" w:rsidR="005E4D4F" w:rsidRPr="005E4D4F" w:rsidRDefault="005E4D4F" w:rsidP="005E4D4F">
      <w:pPr>
        <w:pStyle w:val="Ueberschrift"/>
      </w:pPr>
      <w:r w:rsidRPr="005E4D4F">
        <w:t>Ergebnisse und Schlussfolgerungen</w:t>
      </w:r>
    </w:p>
    <w:p w14:paraId="2256EFC1" w14:textId="6B5D7D79" w:rsidR="005E4D4F" w:rsidRDefault="005E4D4F" w:rsidP="00227125"/>
    <w:p w14:paraId="282BB9ED" w14:textId="6702E991" w:rsidR="000D10C9" w:rsidRDefault="000D10C9" w:rsidP="000D10C9">
      <w:r>
        <w:t>Das Ergebnis des Optimierungsprozesses besteht aus dem Gerät und dem jeweiligen optimalen Einschaltzeitpunkt welche zu lesbarem Text weiterverarbeitet werden. Es werden Methoden zum Umgang mit den Restriktionen von MILP und der Implementierung von Wahrscheinlichkeiten sowie Unsicherheiten beim speziellen Problem der direkten Interaktion mit Menschen entwickelt.</w:t>
      </w:r>
    </w:p>
    <w:p w14:paraId="7CA36F0F" w14:textId="55D7DE34" w:rsidR="000D10C9" w:rsidRDefault="000D10C9" w:rsidP="000D10C9">
      <w:r>
        <w:t xml:space="preserve">Erste Simulationstests des beschriebenen Ansatzes wurden durchgeführt. Die folgenden Ergebnisse beziehen sich auf eine Gemeinschaft bestehend aus 6 </w:t>
      </w:r>
      <w:proofErr w:type="spellStart"/>
      <w:r>
        <w:t>Prosumern</w:t>
      </w:r>
      <w:proofErr w:type="spellEnd"/>
      <w:r>
        <w:t xml:space="preserve"> (mit PV-Anlage) und 3 Verbrauchern. Es wurden perfekte Prognosen und eine Erfüllungswahrscheinlichkeit von 1 angenommen. </w:t>
      </w:r>
      <w:r w:rsidR="00AF0002">
        <w:rPr>
          <w:highlight w:val="yellow"/>
        </w:rPr>
        <w:fldChar w:fldCharType="begin"/>
      </w:r>
      <w:r w:rsidR="00AF0002">
        <w:instrText xml:space="preserve"> REF _Ref119331917 \h </w:instrText>
      </w:r>
      <w:r w:rsidR="00AF0002">
        <w:rPr>
          <w:highlight w:val="yellow"/>
        </w:rPr>
      </w:r>
      <w:r w:rsidR="00AF0002">
        <w:rPr>
          <w:highlight w:val="yellow"/>
        </w:rPr>
        <w:fldChar w:fldCharType="separate"/>
      </w:r>
      <w:r w:rsidR="00AF0002" w:rsidRPr="000D10C9">
        <w:t xml:space="preserve">Abbildung </w:t>
      </w:r>
      <w:r w:rsidR="00AF0002">
        <w:rPr>
          <w:noProof/>
        </w:rPr>
        <w:t>2</w:t>
      </w:r>
      <w:r w:rsidR="00AF0002">
        <w:rPr>
          <w:highlight w:val="yellow"/>
        </w:rPr>
        <w:fldChar w:fldCharType="end"/>
      </w:r>
      <w:r>
        <w:t xml:space="preserve"> zeigt die Leistungsflüsse innerhalb der Gemeinschaft sowie die Leistungsflüsse in einem Beispielhaushalt.</w:t>
      </w:r>
    </w:p>
    <w:p w14:paraId="668A6D2A" w14:textId="77777777" w:rsidR="000D10C9" w:rsidRPr="009A0C76" w:rsidRDefault="000D10C9" w:rsidP="000D10C9">
      <w:pPr>
        <w:ind w:firstLine="567"/>
        <w:jc w:val="center"/>
        <w:rPr>
          <w:sz w:val="24"/>
          <w:lang w:val="en-US"/>
        </w:rPr>
      </w:pPr>
      <w:r w:rsidRPr="00696A1F">
        <w:rPr>
          <w:noProof/>
          <w:sz w:val="24"/>
          <w:lang w:val="de-AT" w:eastAsia="de-AT"/>
        </w:rPr>
        <w:drawing>
          <wp:inline distT="0" distB="0" distL="0" distR="0" wp14:anchorId="52498421" wp14:editId="695ED3C2">
            <wp:extent cx="3600000" cy="14147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1414786"/>
                    </a:xfrm>
                    <a:prstGeom prst="rect">
                      <a:avLst/>
                    </a:prstGeom>
                    <a:noFill/>
                    <a:ln>
                      <a:noFill/>
                    </a:ln>
                  </pic:spPr>
                </pic:pic>
              </a:graphicData>
            </a:graphic>
          </wp:inline>
        </w:drawing>
      </w:r>
    </w:p>
    <w:p w14:paraId="0A63DA2B" w14:textId="77777777" w:rsidR="000D10C9" w:rsidRDefault="000D10C9" w:rsidP="000D10C9">
      <w:pPr>
        <w:keepNext/>
        <w:ind w:firstLine="567"/>
        <w:jc w:val="center"/>
      </w:pPr>
      <w:r w:rsidRPr="00696A1F">
        <w:rPr>
          <w:noProof/>
          <w:sz w:val="24"/>
          <w:lang w:val="de-AT" w:eastAsia="de-AT"/>
        </w:rPr>
        <w:drawing>
          <wp:inline distT="0" distB="0" distL="0" distR="0" wp14:anchorId="75EE9749" wp14:editId="5D2EB53E">
            <wp:extent cx="3600000" cy="138677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0" cy="1386770"/>
                    </a:xfrm>
                    <a:prstGeom prst="rect">
                      <a:avLst/>
                    </a:prstGeom>
                    <a:noFill/>
                    <a:ln>
                      <a:noFill/>
                    </a:ln>
                  </pic:spPr>
                </pic:pic>
              </a:graphicData>
            </a:graphic>
          </wp:inline>
        </w:drawing>
      </w:r>
    </w:p>
    <w:p w14:paraId="678AC8E2" w14:textId="4674F8B5" w:rsidR="000D10C9" w:rsidRPr="000D10C9" w:rsidRDefault="000D10C9" w:rsidP="000D10C9">
      <w:pPr>
        <w:pStyle w:val="Caption"/>
        <w:rPr>
          <w:rFonts w:ascii="Arial" w:hAnsi="Arial"/>
          <w:color w:val="auto"/>
          <w:sz w:val="20"/>
          <w:szCs w:val="24"/>
          <w:lang w:val="de-DE" w:eastAsia="ko-KR"/>
        </w:rPr>
      </w:pPr>
      <w:bookmarkStart w:id="2" w:name="_Ref119331917"/>
      <w:r w:rsidRPr="000D10C9">
        <w:rPr>
          <w:rFonts w:ascii="Arial" w:hAnsi="Arial"/>
          <w:color w:val="auto"/>
          <w:sz w:val="20"/>
          <w:szCs w:val="24"/>
          <w:lang w:val="de-DE" w:eastAsia="ko-KR"/>
        </w:rPr>
        <w:t xml:space="preserve">Abbildung </w:t>
      </w:r>
      <w:r w:rsidRPr="000D10C9">
        <w:rPr>
          <w:rFonts w:ascii="Arial" w:hAnsi="Arial"/>
          <w:color w:val="auto"/>
          <w:sz w:val="20"/>
          <w:szCs w:val="24"/>
          <w:lang w:val="de-DE" w:eastAsia="ko-KR"/>
        </w:rPr>
        <w:fldChar w:fldCharType="begin"/>
      </w:r>
      <w:r w:rsidRPr="000D10C9">
        <w:rPr>
          <w:rFonts w:ascii="Arial" w:hAnsi="Arial"/>
          <w:color w:val="auto"/>
          <w:sz w:val="20"/>
          <w:szCs w:val="24"/>
          <w:lang w:val="de-DE" w:eastAsia="ko-KR"/>
        </w:rPr>
        <w:instrText xml:space="preserve"> SEQ Abbildung \* ARABIC </w:instrText>
      </w:r>
      <w:r w:rsidRPr="000D10C9">
        <w:rPr>
          <w:rFonts w:ascii="Arial" w:hAnsi="Arial"/>
          <w:color w:val="auto"/>
          <w:sz w:val="20"/>
          <w:szCs w:val="24"/>
          <w:lang w:val="de-DE" w:eastAsia="ko-KR"/>
        </w:rPr>
        <w:fldChar w:fldCharType="separate"/>
      </w:r>
      <w:r w:rsidR="00AF0002">
        <w:rPr>
          <w:rFonts w:ascii="Arial" w:hAnsi="Arial"/>
          <w:noProof/>
          <w:color w:val="auto"/>
          <w:sz w:val="20"/>
          <w:szCs w:val="24"/>
          <w:lang w:val="de-DE" w:eastAsia="ko-KR"/>
        </w:rPr>
        <w:t>2</w:t>
      </w:r>
      <w:r w:rsidRPr="000D10C9">
        <w:rPr>
          <w:rFonts w:ascii="Arial" w:hAnsi="Arial"/>
          <w:color w:val="auto"/>
          <w:sz w:val="20"/>
          <w:szCs w:val="24"/>
          <w:lang w:val="de-DE" w:eastAsia="ko-KR"/>
        </w:rPr>
        <w:fldChar w:fldCharType="end"/>
      </w:r>
      <w:bookmarkEnd w:id="2"/>
      <w:r w:rsidRPr="000D10C9">
        <w:rPr>
          <w:rFonts w:ascii="Arial" w:hAnsi="Arial"/>
          <w:color w:val="auto"/>
          <w:sz w:val="20"/>
          <w:szCs w:val="24"/>
          <w:lang w:val="de-DE" w:eastAsia="ko-KR"/>
        </w:rPr>
        <w:t xml:space="preserve">: Stromflüsse in der Gemeinschaft und im Beispielhaushalt sowie die verschobene Last </w:t>
      </w:r>
      <w:r w:rsidRPr="00625821">
        <w:rPr>
          <w:rFonts w:ascii="Arial" w:hAnsi="Arial"/>
          <w:color w:val="auto"/>
          <w:sz w:val="20"/>
          <w:szCs w:val="24"/>
          <w:lang w:val="de-DE" w:eastAsia="ko-KR"/>
        </w:rPr>
        <w:t>(</w:t>
      </w:r>
      <w:r w:rsidR="00625821" w:rsidRPr="00625821">
        <w:rPr>
          <w:rFonts w:ascii="Arial" w:hAnsi="Arial"/>
          <w:color w:val="auto"/>
          <w:sz w:val="20"/>
          <w:szCs w:val="24"/>
          <w:lang w:val="de-DE" w:eastAsia="ko-KR"/>
        </w:rPr>
        <w:t>dunkles Rechteckprofil</w:t>
      </w:r>
      <w:r w:rsidRPr="00625821">
        <w:rPr>
          <w:rFonts w:ascii="Arial" w:hAnsi="Arial"/>
          <w:color w:val="auto"/>
          <w:sz w:val="20"/>
          <w:szCs w:val="24"/>
          <w:lang w:val="de-DE" w:eastAsia="ko-KR"/>
        </w:rPr>
        <w:t>) für</w:t>
      </w:r>
      <w:r w:rsidRPr="000D10C9">
        <w:rPr>
          <w:rFonts w:ascii="Arial" w:hAnsi="Arial"/>
          <w:color w:val="auto"/>
          <w:sz w:val="20"/>
          <w:szCs w:val="24"/>
          <w:lang w:val="de-DE" w:eastAsia="ko-KR"/>
        </w:rPr>
        <w:t xml:space="preserve"> einen Tag im Juni</w:t>
      </w:r>
    </w:p>
    <w:p w14:paraId="5D6FF6D1" w14:textId="77777777" w:rsidR="000D10C9" w:rsidRDefault="000D10C9" w:rsidP="000D10C9">
      <w:r>
        <w:t>Das dunkle Rechtecksignal im unteren Bild bezieht sich auf die Leistung zwei verschiedener verschiebbarer Lasten mit vereinfachten Profilen, wobei eine um 5:45 Uhr und die andere um 13:45 Uhr gestartet werden soll.</w:t>
      </w:r>
    </w:p>
    <w:p w14:paraId="7EE9076B" w14:textId="2F6375FE" w:rsidR="000D10C9" w:rsidRDefault="000D10C9" w:rsidP="000D10C9">
      <w:r>
        <w:t>Um die Ergebnisse besser einordnen zu können, wurden drei Szenarien untersucht: (1) keine Gemeinschaft, (2) Gemeinschaft ohne Optimierung, (3) optimierte Gemeinschaft.</w:t>
      </w:r>
    </w:p>
    <w:p w14:paraId="15B24DAB" w14:textId="745A5C07" w:rsidR="000D10C9" w:rsidRDefault="000D10C9" w:rsidP="000D10C9"/>
    <w:tbl>
      <w:tblPr>
        <w:tblStyle w:val="PlainTable2"/>
        <w:tblW w:w="0" w:type="auto"/>
        <w:jc w:val="center"/>
        <w:tblLook w:val="04A0" w:firstRow="1" w:lastRow="0" w:firstColumn="1" w:lastColumn="0" w:noHBand="0" w:noVBand="1"/>
      </w:tblPr>
      <w:tblGrid>
        <w:gridCol w:w="3686"/>
        <w:gridCol w:w="2835"/>
      </w:tblGrid>
      <w:tr w:rsidR="000D10C9" w:rsidRPr="008929CB" w14:paraId="6AECAE2F" w14:textId="77777777" w:rsidTr="000D10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6124D90" w14:textId="77777777" w:rsidR="000D10C9" w:rsidRPr="00297E4D" w:rsidRDefault="000D10C9" w:rsidP="000D10C9">
            <w:pPr>
              <w:spacing w:after="100" w:afterAutospacing="1"/>
              <w:ind w:firstLine="567"/>
              <w:jc w:val="center"/>
              <w:rPr>
                <w:szCs w:val="20"/>
                <w:lang w:val="en-US"/>
              </w:rPr>
            </w:pPr>
            <w:r w:rsidRPr="00297E4D">
              <w:rPr>
                <w:szCs w:val="20"/>
                <w:lang w:val="en-US"/>
              </w:rPr>
              <w:t>Scenario (1 day)</w:t>
            </w:r>
          </w:p>
        </w:tc>
        <w:tc>
          <w:tcPr>
            <w:tcW w:w="2835" w:type="dxa"/>
          </w:tcPr>
          <w:p w14:paraId="27365878" w14:textId="77777777" w:rsidR="000D10C9" w:rsidRPr="00297E4D" w:rsidRDefault="000D10C9" w:rsidP="000D10C9">
            <w:pPr>
              <w:spacing w:after="100" w:afterAutospacing="1"/>
              <w:jc w:val="left"/>
              <w:cnfStyle w:val="100000000000" w:firstRow="1" w:lastRow="0" w:firstColumn="0" w:lastColumn="0" w:oddVBand="0" w:evenVBand="0" w:oddHBand="0" w:evenHBand="0" w:firstRowFirstColumn="0" w:firstRowLastColumn="0" w:lastRowFirstColumn="0" w:lastRowLastColumn="0"/>
              <w:rPr>
                <w:szCs w:val="20"/>
                <w:lang w:val="en-US"/>
              </w:rPr>
            </w:pPr>
            <w:r w:rsidRPr="00297E4D">
              <w:rPr>
                <w:szCs w:val="20"/>
                <w:lang w:val="en-US"/>
              </w:rPr>
              <w:t>Total Costs in €</w:t>
            </w:r>
          </w:p>
        </w:tc>
      </w:tr>
      <w:tr w:rsidR="000D10C9" w:rsidRPr="008929CB" w14:paraId="147D3217" w14:textId="77777777" w:rsidTr="000D10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4E342EE" w14:textId="77777777" w:rsidR="000D10C9" w:rsidRPr="00297E4D" w:rsidRDefault="000D10C9" w:rsidP="00297E4D">
            <w:r w:rsidRPr="00297E4D">
              <w:rPr>
                <w:b w:val="0"/>
                <w:bCs w:val="0"/>
              </w:rPr>
              <w:t>no community</w:t>
            </w:r>
          </w:p>
        </w:tc>
        <w:tc>
          <w:tcPr>
            <w:tcW w:w="2835" w:type="dxa"/>
          </w:tcPr>
          <w:p w14:paraId="6D8B4FB1" w14:textId="77777777" w:rsidR="000D10C9" w:rsidRPr="00297E4D" w:rsidRDefault="000D10C9" w:rsidP="00297E4D">
            <w:pPr>
              <w:cnfStyle w:val="000000100000" w:firstRow="0" w:lastRow="0" w:firstColumn="0" w:lastColumn="0" w:oddVBand="0" w:evenVBand="0" w:oddHBand="1" w:evenHBand="0" w:firstRowFirstColumn="0" w:firstRowLastColumn="0" w:lastRowFirstColumn="0" w:lastRowLastColumn="0"/>
              <w:rPr>
                <w:b/>
                <w:bCs/>
              </w:rPr>
            </w:pPr>
            <w:r w:rsidRPr="00297E4D">
              <w:rPr>
                <w:b/>
                <w:bCs/>
              </w:rPr>
              <w:t>12.83</w:t>
            </w:r>
          </w:p>
        </w:tc>
      </w:tr>
      <w:tr w:rsidR="000D10C9" w:rsidRPr="008929CB" w14:paraId="3C5C1F0C" w14:textId="77777777" w:rsidTr="000D10C9">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21F74857" w14:textId="77777777" w:rsidR="000D10C9" w:rsidRPr="00297E4D" w:rsidRDefault="000D10C9" w:rsidP="00297E4D">
            <w:r w:rsidRPr="00297E4D">
              <w:rPr>
                <w:b w:val="0"/>
                <w:bCs w:val="0"/>
              </w:rPr>
              <w:t>community without optimization</w:t>
            </w:r>
          </w:p>
        </w:tc>
        <w:tc>
          <w:tcPr>
            <w:tcW w:w="2835" w:type="dxa"/>
          </w:tcPr>
          <w:p w14:paraId="269EFCFC" w14:textId="77777777" w:rsidR="000D10C9" w:rsidRPr="00297E4D" w:rsidRDefault="000D10C9" w:rsidP="00297E4D">
            <w:pPr>
              <w:cnfStyle w:val="000000000000" w:firstRow="0" w:lastRow="0" w:firstColumn="0" w:lastColumn="0" w:oddVBand="0" w:evenVBand="0" w:oddHBand="0" w:evenHBand="0" w:firstRowFirstColumn="0" w:firstRowLastColumn="0" w:lastRowFirstColumn="0" w:lastRowLastColumn="0"/>
              <w:rPr>
                <w:b/>
                <w:bCs/>
              </w:rPr>
            </w:pPr>
            <w:r w:rsidRPr="00297E4D">
              <w:rPr>
                <w:b/>
                <w:bCs/>
              </w:rPr>
              <w:t>7.29</w:t>
            </w:r>
          </w:p>
        </w:tc>
      </w:tr>
      <w:tr w:rsidR="000D10C9" w:rsidRPr="008929CB" w14:paraId="7DC5268C" w14:textId="77777777" w:rsidTr="000D10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51FDE7C" w14:textId="77777777" w:rsidR="000D10C9" w:rsidRPr="00297E4D" w:rsidRDefault="000D10C9" w:rsidP="00297E4D">
            <w:r w:rsidRPr="00297E4D">
              <w:rPr>
                <w:b w:val="0"/>
                <w:bCs w:val="0"/>
              </w:rPr>
              <w:t>optimized community</w:t>
            </w:r>
          </w:p>
        </w:tc>
        <w:tc>
          <w:tcPr>
            <w:tcW w:w="2835" w:type="dxa"/>
          </w:tcPr>
          <w:p w14:paraId="22A70DB2" w14:textId="77777777" w:rsidR="000D10C9" w:rsidRPr="00297E4D" w:rsidRDefault="000D10C9" w:rsidP="00297E4D">
            <w:pPr>
              <w:cnfStyle w:val="000000100000" w:firstRow="0" w:lastRow="0" w:firstColumn="0" w:lastColumn="0" w:oddVBand="0" w:evenVBand="0" w:oddHBand="1" w:evenHBand="0" w:firstRowFirstColumn="0" w:firstRowLastColumn="0" w:lastRowFirstColumn="0" w:lastRowLastColumn="0"/>
              <w:rPr>
                <w:b/>
                <w:bCs/>
              </w:rPr>
            </w:pPr>
            <w:r w:rsidRPr="00297E4D">
              <w:rPr>
                <w:b/>
                <w:bCs/>
              </w:rPr>
              <w:t>5.49</w:t>
            </w:r>
          </w:p>
        </w:tc>
      </w:tr>
    </w:tbl>
    <w:p w14:paraId="4989809D" w14:textId="77777777" w:rsidR="000D10C9" w:rsidRDefault="000D10C9" w:rsidP="000D10C9"/>
    <w:p w14:paraId="4CCE93EC" w14:textId="1C64C84F" w:rsidR="000D10C9" w:rsidRDefault="00B6377F" w:rsidP="000D10C9">
      <w:pPr>
        <w:rPr>
          <w:lang w:val="de-AT"/>
        </w:rPr>
      </w:pPr>
      <w:r w:rsidRPr="00B6377F">
        <w:rPr>
          <w:lang w:val="de-AT"/>
        </w:rPr>
        <w:t xml:space="preserve">Mit den angenommenen Tarifen würde eine einfache Energiegemeinschaft die Gesamtkosten um 43 % senken, während durch die Optimierung eine </w:t>
      </w:r>
      <w:r>
        <w:rPr>
          <w:lang w:val="de-AT"/>
        </w:rPr>
        <w:t>Energiek</w:t>
      </w:r>
      <w:r w:rsidRPr="00B6377F">
        <w:rPr>
          <w:lang w:val="de-AT"/>
        </w:rPr>
        <w:t xml:space="preserve">ostensenkung von 57 % erreicht wird. Obwohl diese ersten Ergebnisse noch unzureichend </w:t>
      </w:r>
      <w:r>
        <w:rPr>
          <w:lang w:val="de-AT"/>
        </w:rPr>
        <w:t xml:space="preserve">für allgemeine Aussagen </w:t>
      </w:r>
      <w:r w:rsidRPr="00B6377F">
        <w:rPr>
          <w:lang w:val="de-AT"/>
        </w:rPr>
        <w:t>sind und nur für die angenommene Energiegemeinschaft gelten, scheint das Potenzial des gewählten Ansatzes für die Lastverschiebung innerhalb von Energiegemeinschaften vielversprechend.</w:t>
      </w:r>
    </w:p>
    <w:p w14:paraId="61654042" w14:textId="77777777" w:rsidR="00397445" w:rsidRDefault="00397445" w:rsidP="000D10C9">
      <w:pPr>
        <w:rPr>
          <w:lang w:val="de-AT"/>
        </w:rPr>
      </w:pPr>
    </w:p>
    <w:p w14:paraId="33FBEE1E" w14:textId="62EABF9A" w:rsidR="00397445" w:rsidRPr="000D10C9" w:rsidRDefault="00397445" w:rsidP="000D10C9">
      <w:pPr>
        <w:rPr>
          <w:lang w:val="de-AT"/>
        </w:rPr>
      </w:pPr>
      <w:r>
        <w:t>Diese Arbeit wurde im Zuge des Projektes „serve</w:t>
      </w:r>
      <w:r>
        <w:noBreakHyphen/>
        <w:t>U“ (FFG Nr. 881164) vom Klima- und Energiefonds gefördert.</w:t>
      </w:r>
    </w:p>
    <w:p w14:paraId="0442CAE8" w14:textId="77777777" w:rsidR="002946B8" w:rsidRPr="00803917" w:rsidRDefault="002946B8" w:rsidP="00227125"/>
    <w:p w14:paraId="116ED364" w14:textId="77777777" w:rsidR="005E4D4F" w:rsidRPr="00B6377F" w:rsidRDefault="005E4D4F" w:rsidP="00A156E4">
      <w:pPr>
        <w:pStyle w:val="Ueberschrift"/>
        <w:rPr>
          <w:lang w:val="en-US"/>
        </w:rPr>
      </w:pPr>
      <w:bookmarkStart w:id="3" w:name="_Toc26086066"/>
      <w:bookmarkStart w:id="4" w:name="_Toc68418491"/>
      <w:proofErr w:type="spellStart"/>
      <w:r w:rsidRPr="00B6377F">
        <w:rPr>
          <w:lang w:val="en-US"/>
        </w:rPr>
        <w:t>Literatur</w:t>
      </w:r>
      <w:bookmarkEnd w:id="3"/>
      <w:bookmarkEnd w:id="4"/>
      <w:proofErr w:type="spellEnd"/>
    </w:p>
    <w:p w14:paraId="63B06424" w14:textId="17C6065F" w:rsidR="005E4D4F" w:rsidRPr="00B6377F" w:rsidRDefault="00483B87" w:rsidP="00B6377F">
      <w:pPr>
        <w:pStyle w:val="Literatur"/>
        <w:rPr>
          <w:lang w:val="en-US"/>
        </w:rPr>
      </w:pPr>
      <w:r w:rsidRPr="00B6377F">
        <w:rPr>
          <w:lang w:val="en-US"/>
        </w:rPr>
        <w:lastRenderedPageBreak/>
        <w:t>[1]</w:t>
      </w:r>
      <w:r w:rsidRPr="00B6377F">
        <w:rPr>
          <w:lang w:val="en-US"/>
        </w:rPr>
        <w:tab/>
      </w:r>
      <w:r w:rsidR="00B6377F" w:rsidRPr="00B6377F">
        <w:rPr>
          <w:lang w:val="en-US"/>
        </w:rPr>
        <w:t xml:space="preserve">S. Sharda, M. Singh, and K. Sharma, “Demand side management through load shifting in IoT based HEMS: Overview, challenges and opportunities,” Sustain. Cities Soc., vol. 65, p. 102517, Feb. 2021, </w:t>
      </w:r>
      <w:proofErr w:type="spellStart"/>
      <w:r w:rsidR="00B6377F" w:rsidRPr="00B6377F">
        <w:rPr>
          <w:lang w:val="en-US"/>
        </w:rPr>
        <w:t>doi</w:t>
      </w:r>
      <w:proofErr w:type="spellEnd"/>
      <w:r w:rsidR="00B6377F" w:rsidRPr="00B6377F">
        <w:rPr>
          <w:lang w:val="en-US"/>
        </w:rPr>
        <w:t>: 10.1016/j.scs.2020.102517.</w:t>
      </w:r>
    </w:p>
    <w:sectPr w:rsidR="005E4D4F" w:rsidRPr="00B6377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2D43" w14:textId="77777777" w:rsidR="0022355B" w:rsidRDefault="0022355B">
      <w:r>
        <w:separator/>
      </w:r>
    </w:p>
  </w:endnote>
  <w:endnote w:type="continuationSeparator" w:id="0">
    <w:p w14:paraId="03BD9F04" w14:textId="77777777" w:rsidR="0022355B" w:rsidRDefault="0022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1EEB" w14:textId="77777777" w:rsidR="0022355B" w:rsidRDefault="0022355B">
      <w:r>
        <w:separator/>
      </w:r>
    </w:p>
  </w:footnote>
  <w:footnote w:type="continuationSeparator" w:id="0">
    <w:p w14:paraId="4235DA25" w14:textId="77777777" w:rsidR="0022355B" w:rsidRDefault="0022355B">
      <w:r>
        <w:continuationSeparator/>
      </w:r>
    </w:p>
  </w:footnote>
  <w:footnote w:id="1">
    <w:p w14:paraId="630DCCC9" w14:textId="77B37B87" w:rsidR="00CF7ED3" w:rsidRDefault="00CF7ED3">
      <w:pPr>
        <w:pStyle w:val="FootnoteText"/>
      </w:pPr>
      <w:r>
        <w:rPr>
          <w:rStyle w:val="FootnoteReference"/>
        </w:rPr>
        <w:footnoteRef/>
      </w:r>
      <w:r>
        <w:t xml:space="preserve"> Jungautor</w:t>
      </w:r>
    </w:p>
  </w:footnote>
  <w:footnote w:id="2">
    <w:p w14:paraId="76B53223" w14:textId="320C778F" w:rsidR="00D53E86" w:rsidRPr="00FB69AE" w:rsidRDefault="00D53E86" w:rsidP="002014D3">
      <w:r w:rsidRPr="00A115D2">
        <w:rPr>
          <w:rStyle w:val="FootnoteReference"/>
        </w:rPr>
        <w:footnoteRef/>
      </w:r>
      <w:r w:rsidR="00CF7ED3">
        <w:t xml:space="preserve"> </w:t>
      </w:r>
      <w:proofErr w:type="spellStart"/>
      <w:r w:rsidR="00AF6EDB">
        <w:t>Roseggerstraße</w:t>
      </w:r>
      <w:proofErr w:type="spellEnd"/>
      <w:r w:rsidR="00AF6EDB">
        <w:t xml:space="preserve"> 15, 4600 Wels</w:t>
      </w:r>
      <w:r w:rsidR="00E520E6">
        <w:t xml:space="preserve">, </w:t>
      </w:r>
      <w:r w:rsidR="00AF6EDB">
        <w:t>+43 664 804 844 6914</w:t>
      </w:r>
      <w:r w:rsidR="00A6148D">
        <w:t>,</w:t>
      </w:r>
      <w:r w:rsidR="00FD5D56">
        <w:t xml:space="preserve"> </w:t>
      </w:r>
      <w:r w:rsidR="00AF6EDB">
        <w:t>lukas.gaisberger@fh-wels.at</w:t>
      </w:r>
      <w:r>
        <w:t xml:space="preserve">, </w:t>
      </w:r>
      <w:hyperlink r:id="rId1" w:history="1">
        <w:r w:rsidR="00625821">
          <w:rPr>
            <w:rStyle w:val="Hyperlink"/>
          </w:rPr>
          <w:t>asic.at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8451599">
    <w:abstractNumId w:val="1"/>
  </w:num>
  <w:num w:numId="2" w16cid:durableId="1237670655">
    <w:abstractNumId w:val="3"/>
  </w:num>
  <w:num w:numId="3" w16cid:durableId="554127156">
    <w:abstractNumId w:val="2"/>
  </w:num>
  <w:num w:numId="4" w16cid:durableId="112546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4F"/>
    <w:rsid w:val="00010E92"/>
    <w:rsid w:val="000D10C9"/>
    <w:rsid w:val="001A71B9"/>
    <w:rsid w:val="001C582A"/>
    <w:rsid w:val="002014D3"/>
    <w:rsid w:val="0022355B"/>
    <w:rsid w:val="00227125"/>
    <w:rsid w:val="00247DDF"/>
    <w:rsid w:val="00262FD5"/>
    <w:rsid w:val="002946B8"/>
    <w:rsid w:val="00297E4D"/>
    <w:rsid w:val="00335E63"/>
    <w:rsid w:val="00350F98"/>
    <w:rsid w:val="00397445"/>
    <w:rsid w:val="003B676F"/>
    <w:rsid w:val="003B6A51"/>
    <w:rsid w:val="003C28FE"/>
    <w:rsid w:val="003F087F"/>
    <w:rsid w:val="00482F06"/>
    <w:rsid w:val="00483B87"/>
    <w:rsid w:val="005B1ADB"/>
    <w:rsid w:val="005E4D4F"/>
    <w:rsid w:val="00625821"/>
    <w:rsid w:val="006E4250"/>
    <w:rsid w:val="007378C8"/>
    <w:rsid w:val="00741EC0"/>
    <w:rsid w:val="00742571"/>
    <w:rsid w:val="007B7733"/>
    <w:rsid w:val="007B7CD7"/>
    <w:rsid w:val="00803917"/>
    <w:rsid w:val="0082355A"/>
    <w:rsid w:val="00877B07"/>
    <w:rsid w:val="00883DB7"/>
    <w:rsid w:val="008C2174"/>
    <w:rsid w:val="009410D4"/>
    <w:rsid w:val="00985301"/>
    <w:rsid w:val="00A07737"/>
    <w:rsid w:val="00A156E4"/>
    <w:rsid w:val="00A6148D"/>
    <w:rsid w:val="00A65A69"/>
    <w:rsid w:val="00AF0002"/>
    <w:rsid w:val="00AF6EDB"/>
    <w:rsid w:val="00B6377F"/>
    <w:rsid w:val="00BF05FA"/>
    <w:rsid w:val="00C4581A"/>
    <w:rsid w:val="00CE1A70"/>
    <w:rsid w:val="00CF7ED3"/>
    <w:rsid w:val="00D53E86"/>
    <w:rsid w:val="00D736F8"/>
    <w:rsid w:val="00E520E6"/>
    <w:rsid w:val="00EB54CF"/>
    <w:rsid w:val="00EF79B4"/>
    <w:rsid w:val="00F75AF0"/>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CA717"/>
  <w15:chartTrackingRefBased/>
  <w15:docId w15:val="{92E4A0D6-7B03-4DE2-AEC5-9B0CDD65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25"/>
    <w:pPr>
      <w:jc w:val="both"/>
    </w:pPr>
    <w:rPr>
      <w:rFonts w:ascii="Arial" w:hAnsi="Arial"/>
      <w:szCs w:val="24"/>
      <w:lang w:val="de-D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le">
    <w:name w:val="Title"/>
    <w:basedOn w:val="Normal"/>
    <w:link w:val="TitleChar"/>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NoList"/>
    <w:rsid w:val="00227125"/>
    <w:pPr>
      <w:numPr>
        <w:numId w:val="2"/>
      </w:numPr>
    </w:pPr>
  </w:style>
  <w:style w:type="paragraph" w:customStyle="1" w:styleId="Abbildungsbeschriftung">
    <w:name w:val="Abbildungsbeschriftung"/>
    <w:basedOn w:val="Normal"/>
    <w:rsid w:val="002946B8"/>
    <w:rPr>
      <w:i/>
      <w:iCs/>
    </w:rPr>
  </w:style>
  <w:style w:type="character" w:customStyle="1" w:styleId="TitleChar">
    <w:name w:val="Title Char"/>
    <w:link w:val="Title"/>
    <w:rsid w:val="005E4D4F"/>
    <w:rPr>
      <w:rFonts w:ascii="Arial" w:hAnsi="Arial"/>
      <w:b/>
      <w:snapToGrid w:val="0"/>
      <w:kern w:val="28"/>
      <w:sz w:val="32"/>
      <w:lang w:val="de-DE" w:eastAsia="en-US" w:bidi="ar-SA"/>
    </w:rPr>
  </w:style>
  <w:style w:type="paragraph" w:customStyle="1" w:styleId="Ueberschrift">
    <w:name w:val="Ueberschrift"/>
    <w:basedOn w:val="Normal"/>
    <w:link w:val="UeberschriftChar"/>
    <w:rsid w:val="00A07737"/>
    <w:pPr>
      <w:spacing w:before="120" w:after="120"/>
    </w:pPr>
    <w:rPr>
      <w:b/>
      <w:spacing w:val="-5"/>
      <w:sz w:val="22"/>
      <w:lang w:eastAsia="de-DE"/>
    </w:rPr>
  </w:style>
  <w:style w:type="paragraph" w:styleId="Caption">
    <w:name w:val="caption"/>
    <w:basedOn w:val="Normal"/>
    <w:next w:val="Normal"/>
    <w:unhideWhenUsed/>
    <w:qFormat/>
    <w:rsid w:val="008C2174"/>
    <w:pPr>
      <w:tabs>
        <w:tab w:val="left" w:pos="284"/>
      </w:tabs>
      <w:spacing w:after="200"/>
    </w:pPr>
    <w:rPr>
      <w:rFonts w:ascii="Times New Roman" w:hAnsi="Times New Roman"/>
      <w:i/>
      <w:iCs/>
      <w:color w:val="44546A" w:themeColor="text2"/>
      <w:sz w:val="18"/>
      <w:szCs w:val="18"/>
      <w:lang w:val="it-IT" w:eastAsia="it-IT"/>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le"/>
    <w:rsid w:val="005E4D4F"/>
    <w:rPr>
      <w:rFonts w:cs="Arial"/>
    </w:rPr>
  </w:style>
  <w:style w:type="paragraph" w:customStyle="1" w:styleId="AutorenOrganisation">
    <w:name w:val="Autoren &amp; Organisation"/>
    <w:basedOn w:val="Normal"/>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table" w:styleId="PlainTable2">
    <w:name w:val="Plain Table 2"/>
    <w:basedOn w:val="TableNormal"/>
    <w:rsid w:val="000D10C9"/>
    <w:rPr>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teratur">
    <w:name w:val="Literatur"/>
    <w:basedOn w:val="Normal"/>
    <w:rsid w:val="005E4D4F"/>
    <w:pPr>
      <w:ind w:left="284" w:hanging="284"/>
    </w:pPr>
    <w:rPr>
      <w:rFonts w:cs="Arial"/>
      <w:szCs w:val="20"/>
      <w:lang w:eastAsia="de-DE"/>
    </w:rPr>
  </w:style>
  <w:style w:type="character" w:styleId="Hyperlink">
    <w:name w:val="Hyperlink"/>
    <w:basedOn w:val="DefaultParagraphFont"/>
    <w:uiPriority w:val="99"/>
    <w:unhideWhenUsed/>
    <w:rsid w:val="00625821"/>
    <w:rPr>
      <w:color w:val="0563C1" w:themeColor="hyperlink"/>
      <w:u w:val="single"/>
    </w:rPr>
  </w:style>
  <w:style w:type="character" w:styleId="UnresolvedMention">
    <w:name w:val="Unresolved Mention"/>
    <w:basedOn w:val="DefaultParagraphFont"/>
    <w:uiPriority w:val="99"/>
    <w:semiHidden/>
    <w:unhideWhenUsed/>
    <w:rsid w:val="00625821"/>
    <w:rPr>
      <w:color w:val="605E5C"/>
      <w:shd w:val="clear" w:color="auto" w:fill="E1DFDD"/>
    </w:rPr>
  </w:style>
  <w:style w:type="character" w:styleId="FollowedHyperlink">
    <w:name w:val="FollowedHyperlink"/>
    <w:basedOn w:val="DefaultParagraphFont"/>
    <w:uiPriority w:val="99"/>
    <w:semiHidden/>
    <w:unhideWhenUsed/>
    <w:rsid w:val="00625821"/>
    <w:rPr>
      <w:color w:val="954F72" w:themeColor="followedHyperlink"/>
      <w:u w:val="single"/>
    </w:rPr>
  </w:style>
  <w:style w:type="paragraph" w:styleId="FootnoteText">
    <w:name w:val="footnote text"/>
    <w:basedOn w:val="Normal"/>
    <w:link w:val="FootnoteTextChar"/>
    <w:uiPriority w:val="99"/>
    <w:semiHidden/>
    <w:unhideWhenUsed/>
    <w:rsid w:val="00CF7ED3"/>
    <w:rPr>
      <w:szCs w:val="20"/>
    </w:rPr>
  </w:style>
  <w:style w:type="character" w:customStyle="1" w:styleId="FootnoteTextChar">
    <w:name w:val="Footnote Text Char"/>
    <w:basedOn w:val="DefaultParagraphFont"/>
    <w:link w:val="FootnoteText"/>
    <w:uiPriority w:val="99"/>
    <w:semiHidden/>
    <w:rsid w:val="00CF7ED3"/>
    <w:rPr>
      <w:rFonts w:ascii="Arial" w:hAnsi="Arial"/>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asi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19CB-177A-4AEA-8DFB-EF92F43D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TU-Wien Campuslizenz</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Gaisberger Lukas</cp:lastModifiedBy>
  <cp:revision>5</cp:revision>
  <dcterms:created xsi:type="dcterms:W3CDTF">2022-11-16T08:58:00Z</dcterms:created>
  <dcterms:modified xsi:type="dcterms:W3CDTF">2022-11-16T09:10:00Z</dcterms:modified>
</cp:coreProperties>
</file>