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1A21" w14:textId="4A5ACA97" w:rsidR="005E4D4F" w:rsidRPr="005E4D4F" w:rsidRDefault="00A721D5" w:rsidP="005E4D4F">
      <w:pPr>
        <w:pStyle w:val="Abstract-Titel"/>
      </w:pPr>
      <w:r>
        <w:t>Modellierung energiepolitischer Anreize und Hemmnisse für die Wärmewende: Wirtschaftliche potentiale für erneuerbare Nahwärmenetze</w:t>
      </w:r>
    </w:p>
    <w:p w14:paraId="47B52241" w14:textId="0F37F052" w:rsidR="00BF05FA" w:rsidRDefault="00BF05FA" w:rsidP="00A156E4">
      <w:pPr>
        <w:pStyle w:val="AutorenOrganisation"/>
      </w:pPr>
      <w:r>
        <w:t>Themenbereich</w:t>
      </w:r>
      <w:r w:rsidR="00974C82">
        <w:t xml:space="preserve"> 4: </w:t>
      </w:r>
      <w:r w:rsidR="00974C82" w:rsidRPr="00974C82">
        <w:t>Aktive Endkunden-/</w:t>
      </w:r>
      <w:proofErr w:type="spellStart"/>
      <w:r w:rsidR="00974C82" w:rsidRPr="00974C82">
        <w:t>Prosumerpartizipation</w:t>
      </w:r>
      <w:proofErr w:type="spellEnd"/>
      <w:r w:rsidR="00974C82" w:rsidRPr="00974C82">
        <w:t xml:space="preserve"> &amp; Gebäudesektor</w:t>
      </w:r>
    </w:p>
    <w:p w14:paraId="0AEFEF48" w14:textId="67348C26" w:rsidR="005E4D4F" w:rsidRPr="005E4D4F" w:rsidRDefault="00974C82" w:rsidP="00A156E4">
      <w:pPr>
        <w:pStyle w:val="AutorenOrganisation"/>
      </w:pPr>
      <w:proofErr w:type="gramStart"/>
      <w:r>
        <w:t xml:space="preserve">Frieder </w:t>
      </w:r>
      <w:r w:rsidR="005E4D4F" w:rsidRPr="005E4D4F">
        <w:t xml:space="preserve"> </w:t>
      </w:r>
      <w:r>
        <w:t>BORGGREFE</w:t>
      </w:r>
      <w:proofErr w:type="gramEnd"/>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rsidR="00003092">
        <w:t>Chuen-Fung TANG</w:t>
      </w:r>
      <w:r w:rsidR="00003092" w:rsidRPr="00A156E4">
        <w:rPr>
          <w:vertAlign w:val="superscript"/>
        </w:rPr>
        <w:t>(1</w:t>
      </w:r>
      <w:r w:rsidR="00003092">
        <w:rPr>
          <w:vertAlign w:val="superscript"/>
        </w:rPr>
        <w:t>)</w:t>
      </w:r>
      <w:r w:rsidR="00003092">
        <w:t xml:space="preserve">, </w:t>
      </w:r>
      <w:r w:rsidR="00EB0881">
        <w:t>Marius TILLMANNS</w:t>
      </w:r>
      <w:r w:rsidR="00EB0881" w:rsidRPr="00A156E4">
        <w:rPr>
          <w:vertAlign w:val="superscript"/>
        </w:rPr>
        <w:t>(1</w:t>
      </w:r>
      <w:r w:rsidR="00EB0881">
        <w:rPr>
          <w:vertAlign w:val="superscript"/>
        </w:rPr>
        <w:t>)</w:t>
      </w:r>
      <w:r w:rsidR="00EB0881">
        <w:t xml:space="preserve">, </w:t>
      </w:r>
      <w:r w:rsidR="00B11547">
        <w:t>Max HOFFMANN</w:t>
      </w:r>
      <w:r w:rsidR="00B11547" w:rsidRPr="00A156E4">
        <w:rPr>
          <w:vertAlign w:val="superscript"/>
        </w:rPr>
        <w:t xml:space="preserve"> (</w:t>
      </w:r>
      <w:r w:rsidR="00B11547">
        <w:rPr>
          <w:vertAlign w:val="superscript"/>
        </w:rPr>
        <w:t>2)</w:t>
      </w:r>
      <w:r w:rsidR="00B11547">
        <w:t>, Eyyüp YALAMA</w:t>
      </w:r>
      <w:r w:rsidR="00B11547" w:rsidRPr="00A156E4">
        <w:rPr>
          <w:vertAlign w:val="superscript"/>
        </w:rPr>
        <w:t>(1</w:t>
      </w:r>
      <w:r w:rsidR="00B11547">
        <w:rPr>
          <w:vertAlign w:val="superscript"/>
        </w:rPr>
        <w:t>)</w:t>
      </w:r>
      <w:r w:rsidR="00B11547">
        <w:t xml:space="preserve">, </w:t>
      </w:r>
      <w:r w:rsidR="00D500BE">
        <w:t>Jan PRIESMANN</w:t>
      </w:r>
      <w:r w:rsidR="00D500BE" w:rsidRPr="00A156E4">
        <w:rPr>
          <w:vertAlign w:val="superscript"/>
        </w:rPr>
        <w:t>(1</w:t>
      </w:r>
      <w:r w:rsidR="00D500BE">
        <w:rPr>
          <w:vertAlign w:val="superscript"/>
        </w:rPr>
        <w:t>)</w:t>
      </w:r>
      <w:r w:rsidR="00D500BE">
        <w:t xml:space="preserve">, </w:t>
      </w:r>
      <w:r>
        <w:t>Prof. Aaron PRAKTIKNJO</w:t>
      </w:r>
      <w:r w:rsidRPr="00A156E4">
        <w:rPr>
          <w:vertAlign w:val="superscript"/>
        </w:rPr>
        <w:t>(1</w:t>
      </w:r>
      <w:r>
        <w:rPr>
          <w:vertAlign w:val="superscript"/>
        </w:rPr>
        <w:t>)</w:t>
      </w:r>
    </w:p>
    <w:p w14:paraId="31BB6490" w14:textId="181DCE49" w:rsidR="005E4D4F" w:rsidRDefault="00A156E4" w:rsidP="005E4D4F">
      <w:pPr>
        <w:pStyle w:val="AutorenOrganisation"/>
      </w:pPr>
      <w:r>
        <w:rPr>
          <w:vertAlign w:val="superscript"/>
        </w:rPr>
        <w:t>(</w:t>
      </w:r>
      <w:proofErr w:type="gramStart"/>
      <w:r w:rsidR="00010E92" w:rsidRPr="00010E92">
        <w:rPr>
          <w:vertAlign w:val="superscript"/>
        </w:rPr>
        <w:t>1</w:t>
      </w:r>
      <w:r>
        <w:rPr>
          <w:vertAlign w:val="superscript"/>
        </w:rPr>
        <w:t>)</w:t>
      </w:r>
      <w:r w:rsidR="00974C82">
        <w:t>RWTH</w:t>
      </w:r>
      <w:proofErr w:type="gramEnd"/>
      <w:r w:rsidR="00974C82">
        <w:t xml:space="preserve"> Aachen University</w:t>
      </w:r>
      <w:r w:rsidR="00010E92">
        <w:t xml:space="preserve">, </w:t>
      </w:r>
      <w:r w:rsidRPr="00A156E4">
        <w:rPr>
          <w:vertAlign w:val="superscript"/>
        </w:rPr>
        <w:t>(</w:t>
      </w:r>
      <w:r w:rsidR="00010E92" w:rsidRPr="00010E92">
        <w:rPr>
          <w:vertAlign w:val="superscript"/>
        </w:rPr>
        <w:t>2</w:t>
      </w:r>
      <w:r>
        <w:rPr>
          <w:vertAlign w:val="superscript"/>
        </w:rPr>
        <w:t>)</w:t>
      </w:r>
      <w:r w:rsidR="0001582F" w:rsidRPr="0001582F">
        <w:t xml:space="preserve"> </w:t>
      </w:r>
      <w:r w:rsidR="0001582F" w:rsidRPr="0001582F">
        <w:t>Forschungszentrum Jülich GmbH</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40806C05" w14:textId="4D2224EA" w:rsidR="009C58AB" w:rsidRDefault="006C1892" w:rsidP="00227125">
      <w:r>
        <w:t>Lokale Wärme- und Kältenetze der 5. Generation (5GDHC) können</w:t>
      </w:r>
      <w:r w:rsidR="002B26ED">
        <w:t>, in Bezug auf CO</w:t>
      </w:r>
      <w:r w:rsidR="002B26ED" w:rsidRPr="002B26ED">
        <w:rPr>
          <w:vertAlign w:val="subscript"/>
        </w:rPr>
        <w:t>2</w:t>
      </w:r>
      <w:r w:rsidR="002B26ED">
        <w:t xml:space="preserve">-Emissionen </w:t>
      </w:r>
      <w:r>
        <w:t>einen wichtigen Beitrag zur</w:t>
      </w:r>
      <w:r w:rsidR="002B26ED">
        <w:t xml:space="preserve"> Dekarbonisierung des Gebäudesektors </w:t>
      </w:r>
      <w:r>
        <w:t xml:space="preserve">leisten. </w:t>
      </w:r>
      <w:r w:rsidR="00633671">
        <w:t>Quasi a</w:t>
      </w:r>
      <w:r>
        <w:t>utark von Brennstoffen</w:t>
      </w:r>
      <w:r w:rsidR="00B87D21">
        <w:t xml:space="preserve"> und unter Nutzung von weitestgehend </w:t>
      </w:r>
      <w:r w:rsidR="002B26ED">
        <w:t>e</w:t>
      </w:r>
      <w:r w:rsidR="00B87D21">
        <w:t xml:space="preserve">rneuerbaren Energiequellen entstehen bei der lokalen Wärme und Stromversorgung </w:t>
      </w:r>
      <w:r w:rsidR="009C58AB">
        <w:t xml:space="preserve">im Quartier </w:t>
      </w:r>
      <w:r w:rsidR="00B87D21">
        <w:t xml:space="preserve">nahezu keine Emissionen. </w:t>
      </w:r>
      <w:r w:rsidR="009C58AB">
        <w:t>Nahwärmenetze</w:t>
      </w:r>
      <w:r w:rsidR="00B87D21">
        <w:t xml:space="preserve"> stehen</w:t>
      </w:r>
      <w:r w:rsidR="00633671">
        <w:t xml:space="preserve"> dabei </w:t>
      </w:r>
      <w:r w:rsidR="00B87D21">
        <w:t xml:space="preserve">im Wettbewerb mit Fernwärmelösungen und dezentralen Energielösungen der einzelnen Gebäudebesitzer. </w:t>
      </w:r>
    </w:p>
    <w:p w14:paraId="7B5AAB57" w14:textId="77777777" w:rsidR="009C58AB" w:rsidRDefault="009C58AB" w:rsidP="00227125"/>
    <w:p w14:paraId="11EC7D85" w14:textId="20CBD53D" w:rsidR="009C58AB" w:rsidRDefault="002B26ED" w:rsidP="00227125">
      <w:r>
        <w:t xml:space="preserve">Dieses Paper untersucht die Anreize für bzw. die Hemmnisse gegen Investitionen in lokale Nahwärmenetze: </w:t>
      </w:r>
      <w:r w:rsidR="00B87D21">
        <w:t>An der Schnittstelle zwischen Strom</w:t>
      </w:r>
      <w:r w:rsidR="009C58AB">
        <w:t>-</w:t>
      </w:r>
      <w:r w:rsidR="00B87D21">
        <w:t xml:space="preserve"> und Wärmeversorgung </w:t>
      </w:r>
      <w:r>
        <w:t>werden die</w:t>
      </w:r>
      <w:r w:rsidR="009C58AB">
        <w:t xml:space="preserve"> Einfl</w:t>
      </w:r>
      <w:r>
        <w:t>ü</w:t>
      </w:r>
      <w:r w:rsidR="009C58AB">
        <w:t>ss</w:t>
      </w:r>
      <w:r>
        <w:t>e</w:t>
      </w:r>
      <w:r w:rsidR="00B87D21">
        <w:t xml:space="preserve"> eine</w:t>
      </w:r>
      <w:r w:rsidR="009C58AB">
        <w:t>r</w:t>
      </w:r>
      <w:r w:rsidR="00B87D21">
        <w:t xml:space="preserve"> </w:t>
      </w:r>
      <w:r w:rsidR="009C58AB">
        <w:t>R</w:t>
      </w:r>
      <w:r w:rsidR="00B87D21">
        <w:t>eihe von regulatorischen Vorgaben, Gesetze</w:t>
      </w:r>
      <w:r w:rsidR="009C58AB">
        <w:t>n</w:t>
      </w:r>
      <w:r w:rsidR="00B87D21">
        <w:t xml:space="preserve">, Fördermaßnahmen </w:t>
      </w:r>
      <w:r>
        <w:t>sowie</w:t>
      </w:r>
      <w:r w:rsidR="00B87D21">
        <w:t xml:space="preserve"> Abgaben</w:t>
      </w:r>
      <w:r w:rsidR="009C58AB">
        <w:t xml:space="preserve"> </w:t>
      </w:r>
      <w:r w:rsidR="00633671">
        <w:t>auf die wirtschaftliche Umsetzung</w:t>
      </w:r>
      <w:r w:rsidR="009C58AB">
        <w:t xml:space="preserve"> von </w:t>
      </w:r>
      <w:r>
        <w:t xml:space="preserve">Quartiersenergiekonzepten analysiert. </w:t>
      </w:r>
    </w:p>
    <w:p w14:paraId="2537E2EA" w14:textId="2FBDD8BD" w:rsidR="002B26ED" w:rsidRDefault="002B26ED" w:rsidP="00227125"/>
    <w:p w14:paraId="111535E3" w14:textId="77777777" w:rsidR="00633671" w:rsidRPr="005E4D4F" w:rsidRDefault="00633671" w:rsidP="00633671">
      <w:pPr>
        <w:pStyle w:val="Ueberschrift"/>
      </w:pPr>
      <w:r w:rsidRPr="005E4D4F">
        <w:t>Methodische Vorgangsweise</w:t>
      </w:r>
    </w:p>
    <w:p w14:paraId="738E0DD2" w14:textId="0E03AEAB" w:rsidR="00DA66EA" w:rsidRDefault="00633671" w:rsidP="00227125">
      <w:r>
        <w:t xml:space="preserve">Die Geschäftsmodelle </w:t>
      </w:r>
      <w:r w:rsidR="00DA66EA">
        <w:t>für Energiekonzepte in zwei ausgewählten real geplanten Quartieren werden mit Hilfe eines Bi</w:t>
      </w:r>
      <w:r w:rsidR="00B11547">
        <w:t>-</w:t>
      </w:r>
      <w:r w:rsidR="002A0EC0">
        <w:t>L</w:t>
      </w:r>
      <w:r w:rsidR="00DA66EA">
        <w:t>evel-Optimierungsmodells untersucht. Das Optimierungsmodell ist in der Modellumgebung FINE implementiert. Entwickelt wurde das</w:t>
      </w:r>
      <w:r w:rsidR="00A721D5">
        <w:t xml:space="preserve"> </w:t>
      </w:r>
      <w:r w:rsidR="00DA66EA">
        <w:t>zunächst technische Dispatch</w:t>
      </w:r>
      <w:r w:rsidR="00A721D5">
        <w:t>-</w:t>
      </w:r>
      <w:r w:rsidR="00DA66EA">
        <w:t xml:space="preserve"> und Investi</w:t>
      </w:r>
      <w:r w:rsidR="00A721D5">
        <w:t>ti</w:t>
      </w:r>
      <w:r w:rsidR="00DA66EA">
        <w:t xml:space="preserve">onsmodell FINE am Forschungszentrum Jülich. Im Rahmen des erweiterten Models wird das Entscheidungsverhalten von Gebäudeeigentümern und Energieversorger </w:t>
      </w:r>
      <w:r w:rsidR="00A861AD">
        <w:t>im Rahmen eines Bi-Level-Optimierungsmodells gegenübergestellt</w:t>
      </w:r>
      <w:r w:rsidR="00E1295E">
        <w:t xml:space="preserve">. </w:t>
      </w:r>
      <w:r w:rsidR="00A861AD">
        <w:t xml:space="preserve">Dabei wird ein </w:t>
      </w:r>
      <w:r w:rsidR="00E1295E">
        <w:t xml:space="preserve">Stackelberg Leader-Follower-Modell </w:t>
      </w:r>
      <w:r w:rsidR="00A861AD">
        <w:t>unterstellt bei dem</w:t>
      </w:r>
      <w:r w:rsidR="00E1295E">
        <w:t xml:space="preserve"> die Ausgestaltung der Verträge und Investitionen der beiden Stakeholder</w:t>
      </w:r>
      <w:r w:rsidR="002A0EC0">
        <w:t xml:space="preserve"> unter Vorgabe von energiepolitischen Maßgaben </w:t>
      </w:r>
      <w:r w:rsidR="00E1295E">
        <w:t>ermittelt</w:t>
      </w:r>
      <w:r w:rsidR="00A861AD">
        <w:t xml:space="preserve"> werden</w:t>
      </w:r>
      <w:r w:rsidR="00E1295E">
        <w:t xml:space="preserve">.  </w:t>
      </w:r>
    </w:p>
    <w:p w14:paraId="78E027E0" w14:textId="4A66B562" w:rsidR="00E1295E" w:rsidRDefault="00E1295E" w:rsidP="00227125"/>
    <w:p w14:paraId="5FDE5931" w14:textId="77777777" w:rsidR="00E1295E" w:rsidRDefault="00E1295E" w:rsidP="00227125">
      <w:r>
        <w:t xml:space="preserve">Im Rahmen von verschiedenen Szenarien wird der Einfluss des regulatorischen Rahmens auf die Investitionen und den Betrieb untersucht. Konkret werden dabei die folgenden aktuellen gesetzlichen Vorgaben und energiepolitischen Maßnehmen in Deutschland untersucht: </w:t>
      </w:r>
    </w:p>
    <w:p w14:paraId="45C7CAB7" w14:textId="77777777" w:rsidR="00E1295E" w:rsidRDefault="00E1295E" w:rsidP="00227125"/>
    <w:p w14:paraId="5C4C89CE" w14:textId="02BAE69A" w:rsidR="002A0EC0" w:rsidRDefault="002A0EC0" w:rsidP="00E1295E">
      <w:pPr>
        <w:pStyle w:val="Listenabsatz"/>
        <w:numPr>
          <w:ilvl w:val="0"/>
          <w:numId w:val="5"/>
        </w:numPr>
      </w:pPr>
      <w:r>
        <w:t xml:space="preserve">Die Umsetzung von Energiegemeinschaften (Energy Communities) in Deutschland </w:t>
      </w:r>
    </w:p>
    <w:p w14:paraId="4DEA6AEA" w14:textId="3E8DADAD" w:rsidR="00E1295E" w:rsidRDefault="00E1295E" w:rsidP="00E1295E">
      <w:pPr>
        <w:pStyle w:val="Listenabsatz"/>
        <w:numPr>
          <w:ilvl w:val="0"/>
          <w:numId w:val="5"/>
        </w:numPr>
      </w:pPr>
      <w:r>
        <w:t>Die gesetzlichen Regelungen zur Anwendung des Primärenergiefaktors</w:t>
      </w:r>
    </w:p>
    <w:p w14:paraId="02433375" w14:textId="77777777" w:rsidR="00E1295E" w:rsidRDefault="00E1295E" w:rsidP="00E1295E">
      <w:pPr>
        <w:pStyle w:val="Listenabsatz"/>
        <w:numPr>
          <w:ilvl w:val="0"/>
          <w:numId w:val="5"/>
        </w:numPr>
      </w:pPr>
      <w:r>
        <w:t xml:space="preserve">Steuern und Abgaben unter Berücksichtigung unterschiedlicher Geschäftsmodelle und Besitzverhältnisse </w:t>
      </w:r>
    </w:p>
    <w:p w14:paraId="1D70E85F" w14:textId="77777777" w:rsidR="00E1295E" w:rsidRDefault="00E1295E" w:rsidP="00E1295E">
      <w:pPr>
        <w:pStyle w:val="Listenabsatz"/>
        <w:numPr>
          <w:ilvl w:val="0"/>
          <w:numId w:val="5"/>
        </w:numPr>
      </w:pPr>
      <w:r>
        <w:t xml:space="preserve">Der Einfluss der Befreiung der Wärmepumpen von Steuern und Abgaben </w:t>
      </w:r>
    </w:p>
    <w:p w14:paraId="614957ED" w14:textId="586BC6E7" w:rsidR="00E1295E" w:rsidRDefault="00A721D5" w:rsidP="00E1295E">
      <w:pPr>
        <w:pStyle w:val="Listenabsatz"/>
        <w:numPr>
          <w:ilvl w:val="0"/>
          <w:numId w:val="5"/>
        </w:numPr>
      </w:pPr>
      <w:r>
        <w:t xml:space="preserve">Alternative </w:t>
      </w:r>
      <w:r w:rsidR="002A0EC0">
        <w:t>e</w:t>
      </w:r>
      <w:r w:rsidR="00E1295E">
        <w:t>nergiepolitische Maßn</w:t>
      </w:r>
      <w:r w:rsidR="002A0EC0">
        <w:t>a</w:t>
      </w:r>
      <w:r w:rsidR="00E1295E">
        <w:t xml:space="preserve">hmen </w:t>
      </w:r>
      <w:r>
        <w:t xml:space="preserve">zur Forcierung der Wärmewende in Quartieren </w:t>
      </w:r>
    </w:p>
    <w:p w14:paraId="55CE8174" w14:textId="676CC9B8" w:rsidR="002C4287" w:rsidRDefault="00DA66EA" w:rsidP="00227125">
      <w:r>
        <w:t xml:space="preserve"> </w:t>
      </w:r>
    </w:p>
    <w:p w14:paraId="051C6930" w14:textId="7278D68D" w:rsidR="002C4287" w:rsidRDefault="00DA66EA" w:rsidP="00227125">
      <w:r>
        <w:t xml:space="preserve">Die Arbeit ist im Rahmen des Reallabors </w:t>
      </w:r>
      <w:proofErr w:type="spellStart"/>
      <w:r>
        <w:t>TransUrban.NRW</w:t>
      </w:r>
      <w:proofErr w:type="spellEnd"/>
      <w:r>
        <w:t xml:space="preserve"> entstanden. Aktuell werden sieben Reallabore der Wärmewende gefördert. </w:t>
      </w:r>
      <w:r w:rsidR="002C4287">
        <w:t xml:space="preserve">Im Rahmen des Reallabors </w:t>
      </w:r>
      <w:r w:rsidR="00A721D5">
        <w:t>werden</w:t>
      </w:r>
      <w:r>
        <w:t xml:space="preserve"> die Entwicklung von vier Quartieren </w:t>
      </w:r>
      <w:r w:rsidR="00A721D5">
        <w:t>i</w:t>
      </w:r>
      <w:r>
        <w:t xml:space="preserve">n ehemaligen </w:t>
      </w:r>
      <w:r w:rsidR="00A721D5">
        <w:t xml:space="preserve">deutschen </w:t>
      </w:r>
      <w:r>
        <w:t>Kohlebergbaugebieten geplant und umgesetzt und wissenschaftlich begleitet.</w:t>
      </w:r>
    </w:p>
    <w:p w14:paraId="09B8595C" w14:textId="0048D520" w:rsidR="002C4287" w:rsidRDefault="002C4287" w:rsidP="00227125"/>
    <w:p w14:paraId="14B95358" w14:textId="77777777" w:rsidR="005E4D4F" w:rsidRPr="005E4D4F" w:rsidRDefault="005E4D4F" w:rsidP="005E4D4F">
      <w:pPr>
        <w:pStyle w:val="Ueberschrift"/>
      </w:pPr>
      <w:r w:rsidRPr="005E4D4F">
        <w:t>Ergebnisse und Schlussfolgerungen</w:t>
      </w:r>
    </w:p>
    <w:p w14:paraId="368BAE14" w14:textId="32D9904E" w:rsidR="00803917" w:rsidRPr="002946B8" w:rsidRDefault="00633671" w:rsidP="002A0EC0">
      <w:r>
        <w:t xml:space="preserve">Die Arbeit zeigt, dass die bestehenden regulatorischen Vorgaben in Deutschland und die unzureichende nationale Umsetzung von Energy Communities eine Verstromung des Wärmesektors erschweren. </w:t>
      </w:r>
      <w:r w:rsidR="002A0EC0">
        <w:t xml:space="preserve">Paradoxerweise können gerade </w:t>
      </w:r>
      <w:r>
        <w:t xml:space="preserve">ambitionierte CO2-Ziele für das Quartier </w:t>
      </w:r>
      <w:r w:rsidR="002A0EC0">
        <w:t xml:space="preserve">unter </w:t>
      </w:r>
      <w:r>
        <w:t xml:space="preserve">ungünstigen </w:t>
      </w:r>
      <w:r>
        <w:lastRenderedPageBreak/>
        <w:t xml:space="preserve">Rahmenbedingungen den Bau von Nahwärmenetzen verhindern und zu langfristig höheren Emissionen im Quartier führen. </w:t>
      </w:r>
    </w:p>
    <w:p w14:paraId="27A1FA20" w14:textId="77777777" w:rsidR="002946B8" w:rsidRPr="00803917" w:rsidRDefault="002946B8" w:rsidP="00227125"/>
    <w:p w14:paraId="0C0574B2" w14:textId="77777777" w:rsidR="005E4D4F" w:rsidRPr="005E4D4F" w:rsidRDefault="005E4D4F" w:rsidP="00A156E4">
      <w:pPr>
        <w:pStyle w:val="Ueberschrift"/>
      </w:pPr>
      <w:bookmarkStart w:id="0" w:name="_Toc26086066"/>
      <w:bookmarkStart w:id="1" w:name="_Toc68418491"/>
      <w:r w:rsidRPr="005E4D4F">
        <w:t>Literatur</w:t>
      </w:r>
      <w:bookmarkEnd w:id="0"/>
      <w:bookmarkEnd w:id="1"/>
    </w:p>
    <w:p w14:paraId="73BC531D" w14:textId="180882E6" w:rsidR="00A27951" w:rsidRDefault="00483B87" w:rsidP="00A27951">
      <w:pPr>
        <w:pStyle w:val="Literatur"/>
      </w:pPr>
      <w:r>
        <w:t>[1]</w:t>
      </w:r>
      <w:r>
        <w:tab/>
      </w:r>
      <w:r w:rsidR="00A27951">
        <w:t>Delorme, R.</w:t>
      </w:r>
      <w:proofErr w:type="gramStart"/>
      <w:r w:rsidR="00A27951">
        <w:t xml:space="preserve">,  </w:t>
      </w:r>
      <w:proofErr w:type="spellStart"/>
      <w:r w:rsidR="00A27951">
        <w:t>Schaadt</w:t>
      </w:r>
      <w:proofErr w:type="spellEnd"/>
      <w:proofErr w:type="gramEnd"/>
      <w:r w:rsidR="00A27951">
        <w:t xml:space="preserve">, S., Tillmanns, M., Borggrefe, F. Nolting, L. and </w:t>
      </w:r>
      <w:proofErr w:type="spellStart"/>
      <w:r w:rsidR="00A27951">
        <w:t>Praktiknjo</w:t>
      </w:r>
      <w:proofErr w:type="spellEnd"/>
      <w:r w:rsidR="00A27951">
        <w:t xml:space="preserve"> A. (2022): “Der deutsche Förderdschungel bremst die Wärmewende im Gebäudesektor“ erschienen in </w:t>
      </w:r>
      <w:proofErr w:type="spellStart"/>
      <w:r w:rsidR="00A27951">
        <w:t>e.t.</w:t>
      </w:r>
      <w:proofErr w:type="spellEnd"/>
      <w:r w:rsidR="00A27951">
        <w:t xml:space="preserve"> - Energiewirtschaftliche Tagesfragen, Oktober 2022</w:t>
      </w:r>
    </w:p>
    <w:p w14:paraId="57B31287" w14:textId="77777777" w:rsidR="00A27951" w:rsidRDefault="00A27951" w:rsidP="00227125">
      <w:pPr>
        <w:pStyle w:val="Literatur"/>
      </w:pPr>
    </w:p>
    <w:p w14:paraId="68AAF16B" w14:textId="144ED352" w:rsidR="005E4D4F" w:rsidRDefault="005E4D4F" w:rsidP="00227125">
      <w:pPr>
        <w:pStyle w:val="Literatur"/>
      </w:pP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9FA9" w14:textId="77777777" w:rsidR="003623F7" w:rsidRDefault="003623F7">
      <w:r>
        <w:separator/>
      </w:r>
    </w:p>
  </w:endnote>
  <w:endnote w:type="continuationSeparator" w:id="0">
    <w:p w14:paraId="2D10A559" w14:textId="77777777" w:rsidR="003623F7" w:rsidRDefault="003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1501" w14:textId="77777777" w:rsidR="003623F7" w:rsidRDefault="003623F7">
      <w:r>
        <w:separator/>
      </w:r>
    </w:p>
  </w:footnote>
  <w:footnote w:type="continuationSeparator" w:id="0">
    <w:p w14:paraId="65236B5A" w14:textId="77777777" w:rsidR="003623F7" w:rsidRDefault="003623F7">
      <w:r>
        <w:continuationSeparator/>
      </w:r>
    </w:p>
  </w:footnote>
  <w:footnote w:id="1">
    <w:p w14:paraId="1F453EFA" w14:textId="77777777" w:rsidR="002A0EC0" w:rsidRDefault="00D53E86" w:rsidP="002014D3">
      <w:r w:rsidRPr="00A115D2">
        <w:rPr>
          <w:rStyle w:val="Funotenzeichen"/>
        </w:rPr>
        <w:footnoteRef/>
      </w:r>
      <w:r w:rsidRPr="00D53E86">
        <w:t xml:space="preserve"> </w:t>
      </w:r>
      <w:proofErr w:type="spellStart"/>
      <w:r w:rsidR="00974C82">
        <w:t>Mathieustraße</w:t>
      </w:r>
      <w:proofErr w:type="spellEnd"/>
      <w:r w:rsidR="00974C82">
        <w:t xml:space="preserve"> 10</w:t>
      </w:r>
      <w:r w:rsidR="00E520E6">
        <w:t>,</w:t>
      </w:r>
      <w:r w:rsidR="002A0EC0">
        <w:t xml:space="preserve"> </w:t>
      </w:r>
      <w:r w:rsidR="002A0EC0" w:rsidRPr="002A0EC0">
        <w:t>52074 Aachen, Germany,</w:t>
      </w:r>
      <w:r w:rsidR="00E520E6">
        <w:t xml:space="preserve"> </w:t>
      </w:r>
      <w:r w:rsidR="00974C82">
        <w:t>+49-241-</w:t>
      </w:r>
      <w:r w:rsidR="002A0EC0" w:rsidRPr="002A0EC0">
        <w:t>8049876</w:t>
      </w:r>
      <w:r w:rsidR="00A6148D">
        <w:t>,</w:t>
      </w:r>
      <w:r w:rsidR="00FD5D56">
        <w:t xml:space="preserve"> </w:t>
      </w:r>
    </w:p>
    <w:p w14:paraId="1DD27DBA" w14:textId="4C48C89E" w:rsidR="00D53E86" w:rsidRPr="00FB69AE" w:rsidRDefault="00974C82" w:rsidP="002014D3">
      <w:r>
        <w:t>frieder.borggrefe@eonerc.rwth-aachen.de</w:t>
      </w:r>
      <w:r w:rsidR="00D53E86">
        <w:t xml:space="preserve">, </w:t>
      </w:r>
      <w:r w:rsidR="002A0EC0" w:rsidRPr="002A0EC0">
        <w:t>www.fcn.eonerc.rwth-aachen.de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AD7"/>
    <w:multiLevelType w:val="hybridMultilevel"/>
    <w:tmpl w:val="8F5C674C"/>
    <w:lvl w:ilvl="0" w:tplc="15DCDF56">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53978605">
    <w:abstractNumId w:val="2"/>
  </w:num>
  <w:num w:numId="2" w16cid:durableId="708529995">
    <w:abstractNumId w:val="4"/>
  </w:num>
  <w:num w:numId="3" w16cid:durableId="1030687698">
    <w:abstractNumId w:val="3"/>
  </w:num>
  <w:num w:numId="4" w16cid:durableId="969364753">
    <w:abstractNumId w:val="1"/>
  </w:num>
  <w:num w:numId="5" w16cid:durableId="52595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03092"/>
    <w:rsid w:val="00010E92"/>
    <w:rsid w:val="0001582F"/>
    <w:rsid w:val="002014D3"/>
    <w:rsid w:val="00227125"/>
    <w:rsid w:val="00262FD5"/>
    <w:rsid w:val="002946B8"/>
    <w:rsid w:val="002A0EC0"/>
    <w:rsid w:val="002B26ED"/>
    <w:rsid w:val="002C4287"/>
    <w:rsid w:val="00320B0E"/>
    <w:rsid w:val="00335E63"/>
    <w:rsid w:val="00350F98"/>
    <w:rsid w:val="003623F7"/>
    <w:rsid w:val="00372D53"/>
    <w:rsid w:val="003B676F"/>
    <w:rsid w:val="003C28FE"/>
    <w:rsid w:val="00483B87"/>
    <w:rsid w:val="00564569"/>
    <w:rsid w:val="005B1ADB"/>
    <w:rsid w:val="005E4D4F"/>
    <w:rsid w:val="00633671"/>
    <w:rsid w:val="006C1892"/>
    <w:rsid w:val="007378C8"/>
    <w:rsid w:val="00741EC0"/>
    <w:rsid w:val="00803917"/>
    <w:rsid w:val="009410D4"/>
    <w:rsid w:val="00974C82"/>
    <w:rsid w:val="009C58AB"/>
    <w:rsid w:val="00A07737"/>
    <w:rsid w:val="00A156E4"/>
    <w:rsid w:val="00A27951"/>
    <w:rsid w:val="00A6148D"/>
    <w:rsid w:val="00A721D5"/>
    <w:rsid w:val="00A861AD"/>
    <w:rsid w:val="00B11547"/>
    <w:rsid w:val="00B226A5"/>
    <w:rsid w:val="00B87D21"/>
    <w:rsid w:val="00BF05FA"/>
    <w:rsid w:val="00CE1A70"/>
    <w:rsid w:val="00D500BE"/>
    <w:rsid w:val="00D53E86"/>
    <w:rsid w:val="00D736F8"/>
    <w:rsid w:val="00DA66EA"/>
    <w:rsid w:val="00DC4500"/>
    <w:rsid w:val="00E1295E"/>
    <w:rsid w:val="00E520E6"/>
    <w:rsid w:val="00EB0881"/>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paragraph" w:styleId="Listenabsatz">
    <w:name w:val="List Paragraph"/>
    <w:basedOn w:val="Standard"/>
    <w:uiPriority w:val="34"/>
    <w:qFormat/>
    <w:rsid w:val="00E1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9905">
      <w:bodyDiv w:val="1"/>
      <w:marLeft w:val="0"/>
      <w:marRight w:val="0"/>
      <w:marTop w:val="0"/>
      <w:marBottom w:val="0"/>
      <w:divBdr>
        <w:top w:val="none" w:sz="0" w:space="0" w:color="auto"/>
        <w:left w:val="none" w:sz="0" w:space="0" w:color="auto"/>
        <w:bottom w:val="none" w:sz="0" w:space="0" w:color="auto"/>
        <w:right w:val="none" w:sz="0" w:space="0" w:color="auto"/>
      </w:divBdr>
    </w:div>
    <w:div w:id="1021469272">
      <w:bodyDiv w:val="1"/>
      <w:marLeft w:val="0"/>
      <w:marRight w:val="0"/>
      <w:marTop w:val="0"/>
      <w:marBottom w:val="0"/>
      <w:divBdr>
        <w:top w:val="none" w:sz="0" w:space="0" w:color="auto"/>
        <w:left w:val="none" w:sz="0" w:space="0" w:color="auto"/>
        <w:bottom w:val="none" w:sz="0" w:space="0" w:color="auto"/>
        <w:right w:val="none" w:sz="0" w:space="0" w:color="auto"/>
      </w:divBdr>
    </w:div>
    <w:div w:id="14842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Frieder Borggrefe</cp:lastModifiedBy>
  <cp:revision>6</cp:revision>
  <cp:lastPrinted>2022-11-22T21:19:00Z</cp:lastPrinted>
  <dcterms:created xsi:type="dcterms:W3CDTF">2022-11-16T10:07:00Z</dcterms:created>
  <dcterms:modified xsi:type="dcterms:W3CDTF">2022-11-22T21:24:00Z</dcterms:modified>
</cp:coreProperties>
</file>