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D4F" w:rsidRPr="005E4D4F" w:rsidRDefault="007911CA" w:rsidP="005E4D4F">
      <w:pPr>
        <w:pStyle w:val="Abstract-Titel"/>
      </w:pPr>
      <w:r>
        <w:t>Prognosem</w:t>
      </w:r>
      <w:r w:rsidR="0098496E">
        <w:t xml:space="preserve">odellierung </w:t>
      </w:r>
      <w:r>
        <w:t>des Energiebedarfs eines</w:t>
      </w:r>
      <w:r w:rsidR="0098496E">
        <w:t xml:space="preserve"> Elektrolichtbogenofens</w:t>
      </w:r>
      <w:r w:rsidR="0098496E">
        <w:br/>
      </w:r>
      <w:r w:rsidR="0098496E" w:rsidRPr="001D249D">
        <w:rPr>
          <w:sz w:val="24"/>
          <w:szCs w:val="24"/>
        </w:rPr>
        <w:t>D</w:t>
      </w:r>
      <w:r w:rsidR="006F20DE">
        <w:rPr>
          <w:sz w:val="24"/>
          <w:szCs w:val="24"/>
        </w:rPr>
        <w:t xml:space="preserve">ie Herausforderung im Umgang </w:t>
      </w:r>
      <w:r w:rsidR="001D249D" w:rsidRPr="001D249D">
        <w:rPr>
          <w:sz w:val="24"/>
          <w:szCs w:val="24"/>
        </w:rPr>
        <w:t>mit begrenztem Wissen</w:t>
      </w:r>
      <w:bookmarkStart w:id="0" w:name="_GoBack"/>
      <w:bookmarkEnd w:id="0"/>
    </w:p>
    <w:p w:rsidR="00BF05FA" w:rsidRDefault="00FF0F6F" w:rsidP="00A156E4">
      <w:pPr>
        <w:pStyle w:val="AutorenOrganisation"/>
      </w:pPr>
      <w:r>
        <w:t>Energiesystem- und Klimasystemmodellierung</w:t>
      </w:r>
    </w:p>
    <w:p w:rsidR="005E4D4F" w:rsidRPr="005E4D4F" w:rsidRDefault="00FF0F6F" w:rsidP="00A156E4">
      <w:pPr>
        <w:pStyle w:val="AutorenOrganisation"/>
      </w:pPr>
      <w:r>
        <w:t>Vanessa</w:t>
      </w:r>
      <w:r w:rsidR="005E4D4F" w:rsidRPr="005E4D4F">
        <w:t xml:space="preserve"> </w:t>
      </w:r>
      <w:r>
        <w:t>ZAWODNIK</w:t>
      </w:r>
      <w:r w:rsidR="005E4D4F" w:rsidRPr="00010E92">
        <w:rPr>
          <w:vertAlign w:val="superscript"/>
        </w:rPr>
        <w:footnoteReference w:id="1"/>
      </w:r>
      <w:r w:rsidR="005E4D4F" w:rsidRPr="005E4D4F">
        <w:t xml:space="preserve">, </w:t>
      </w:r>
      <w:r>
        <w:t>Thomas KIENBERGER</w:t>
      </w:r>
    </w:p>
    <w:p w:rsidR="005E4D4F" w:rsidRPr="00FF0F6F" w:rsidRDefault="00FF0F6F" w:rsidP="005E4D4F">
      <w:pPr>
        <w:pStyle w:val="AutorenOrganisation"/>
      </w:pPr>
      <w:r>
        <w:t>Lehrstuhl für Energieverbundtechnik, Montanuniversität Leoben</w:t>
      </w:r>
    </w:p>
    <w:p w:rsidR="00A07737" w:rsidRPr="005E4D4F" w:rsidRDefault="00A07737" w:rsidP="00FB69AE">
      <w:pPr>
        <w:rPr>
          <w:lang w:val="de-AT"/>
        </w:rPr>
      </w:pPr>
    </w:p>
    <w:p w:rsidR="005E4D4F" w:rsidRPr="005E4D4F" w:rsidRDefault="005E4D4F" w:rsidP="005E4D4F">
      <w:pPr>
        <w:pStyle w:val="Ueberschrift"/>
      </w:pPr>
      <w:r w:rsidRPr="005E4D4F">
        <w:t>Motivation und zentrale Fragestellung</w:t>
      </w:r>
    </w:p>
    <w:p w:rsidR="0098496E" w:rsidRDefault="00E06205" w:rsidP="00E06205">
      <w:pPr>
        <w:rPr>
          <w:lang w:val="de-AT"/>
        </w:rPr>
      </w:pPr>
      <w:r w:rsidRPr="00E06205">
        <w:rPr>
          <w:lang w:val="de-AT"/>
        </w:rPr>
        <w:t xml:space="preserve">Die Eisen- und Stahlindustrie ist </w:t>
      </w:r>
      <w:r w:rsidR="001F1436">
        <w:rPr>
          <w:lang w:val="de-AT"/>
        </w:rPr>
        <w:t>mit 8</w:t>
      </w:r>
      <w:r w:rsidR="00D808A0">
        <w:rPr>
          <w:lang w:val="de-AT"/>
        </w:rPr>
        <w:t xml:space="preserve"> </w:t>
      </w:r>
      <w:r w:rsidR="001F1436">
        <w:rPr>
          <w:lang w:val="de-AT"/>
        </w:rPr>
        <w:t xml:space="preserve">% des weltweiten Endenergieverbrauchs </w:t>
      </w:r>
      <w:r w:rsidR="00501256">
        <w:rPr>
          <w:lang w:val="de-AT"/>
        </w:rPr>
        <w:t xml:space="preserve">einer </w:t>
      </w:r>
      <w:r w:rsidR="006F20DE">
        <w:rPr>
          <w:lang w:val="de-AT"/>
        </w:rPr>
        <w:t>der energieintensivste</w:t>
      </w:r>
      <w:r w:rsidR="00501256">
        <w:rPr>
          <w:lang w:val="de-AT"/>
        </w:rPr>
        <w:t>n</w:t>
      </w:r>
      <w:r w:rsidR="006F20DE">
        <w:rPr>
          <w:lang w:val="de-AT"/>
        </w:rPr>
        <w:t xml:space="preserve"> industrielle</w:t>
      </w:r>
      <w:r w:rsidR="00501256">
        <w:rPr>
          <w:lang w:val="de-AT"/>
        </w:rPr>
        <w:t>n</w:t>
      </w:r>
      <w:r w:rsidR="006F20DE">
        <w:rPr>
          <w:lang w:val="de-AT"/>
        </w:rPr>
        <w:t xml:space="preserve"> Subsektor</w:t>
      </w:r>
      <w:r w:rsidR="00501256">
        <w:rPr>
          <w:lang w:val="de-AT"/>
        </w:rPr>
        <w:t>en</w:t>
      </w:r>
      <w:r w:rsidR="006F20DE">
        <w:rPr>
          <w:lang w:val="de-AT"/>
        </w:rPr>
        <w:t xml:space="preserve"> </w:t>
      </w:r>
      <w:r>
        <w:rPr>
          <w:lang w:val="de-AT"/>
        </w:rPr>
        <w:t>und somit</w:t>
      </w:r>
      <w:r w:rsidRPr="00E06205">
        <w:rPr>
          <w:lang w:val="de-AT"/>
        </w:rPr>
        <w:t xml:space="preserve"> </w:t>
      </w:r>
      <w:r w:rsidR="006F20DE">
        <w:rPr>
          <w:lang w:val="de-AT"/>
        </w:rPr>
        <w:t xml:space="preserve">ein wesentlicher Faktor im Hinblick auf die </w:t>
      </w:r>
      <w:r w:rsidR="00917608">
        <w:rPr>
          <w:lang w:val="de-AT"/>
        </w:rPr>
        <w:t xml:space="preserve">Erreichung </w:t>
      </w:r>
      <w:r w:rsidR="006F20DE">
        <w:rPr>
          <w:lang w:val="de-AT"/>
        </w:rPr>
        <w:t>unser</w:t>
      </w:r>
      <w:r w:rsidR="00F80457">
        <w:rPr>
          <w:lang w:val="de-AT"/>
        </w:rPr>
        <w:t>er</w:t>
      </w:r>
      <w:r w:rsidR="00D808A0">
        <w:rPr>
          <w:lang w:val="de-AT"/>
        </w:rPr>
        <w:t xml:space="preserve"> </w:t>
      </w:r>
      <w:r w:rsidR="00917608">
        <w:rPr>
          <w:lang w:val="de-AT"/>
        </w:rPr>
        <w:t>Klimaziele</w:t>
      </w:r>
      <w:r w:rsidR="001F1436">
        <w:rPr>
          <w:lang w:val="de-AT"/>
        </w:rPr>
        <w:t xml:space="preserve"> </w:t>
      </w:r>
      <w:r w:rsidR="001F1436" w:rsidRPr="00F41A93">
        <w:rPr>
          <w:lang w:val="de-AT"/>
        </w:rPr>
        <w:t>[</w:t>
      </w:r>
      <w:r w:rsidR="00D808A0" w:rsidRPr="00F41A93">
        <w:rPr>
          <w:lang w:val="de-AT"/>
        </w:rPr>
        <w:t>1</w:t>
      </w:r>
      <w:r w:rsidR="001F1436">
        <w:rPr>
          <w:lang w:val="de-AT"/>
        </w:rPr>
        <w:t>]</w:t>
      </w:r>
      <w:r w:rsidRPr="00E06205">
        <w:rPr>
          <w:lang w:val="de-AT"/>
        </w:rPr>
        <w:t xml:space="preserve">. </w:t>
      </w:r>
      <w:r w:rsidR="00E31B72">
        <w:rPr>
          <w:lang w:val="de-AT"/>
        </w:rPr>
        <w:t>Z</w:t>
      </w:r>
      <w:r w:rsidRPr="00E06205">
        <w:rPr>
          <w:lang w:val="de-AT"/>
        </w:rPr>
        <w:t xml:space="preserve">ur </w:t>
      </w:r>
      <w:r w:rsidR="00D808A0">
        <w:rPr>
          <w:lang w:val="de-AT"/>
        </w:rPr>
        <w:t>Steigerung</w:t>
      </w:r>
      <w:r w:rsidRPr="00E06205">
        <w:rPr>
          <w:lang w:val="de-AT"/>
        </w:rPr>
        <w:t xml:space="preserve"> der Energieeffizienz von Elektro</w:t>
      </w:r>
      <w:r w:rsidR="001F1436">
        <w:rPr>
          <w:lang w:val="de-AT"/>
        </w:rPr>
        <w:t>stahlwerken</w:t>
      </w:r>
      <w:r w:rsidR="00E31B72">
        <w:rPr>
          <w:lang w:val="de-AT"/>
        </w:rPr>
        <w:t xml:space="preserve"> müssen diese optimiert betrieben werden. Dazu </w:t>
      </w:r>
      <w:r w:rsidR="001F1436">
        <w:rPr>
          <w:lang w:val="de-AT"/>
        </w:rPr>
        <w:t xml:space="preserve">sind </w:t>
      </w:r>
      <w:r w:rsidR="006F20DE">
        <w:rPr>
          <w:lang w:val="de-AT"/>
        </w:rPr>
        <w:t xml:space="preserve">zeitlich hochaufgelöste </w:t>
      </w:r>
      <w:r>
        <w:rPr>
          <w:lang w:val="de-AT"/>
        </w:rPr>
        <w:t>Modelle</w:t>
      </w:r>
      <w:r w:rsidR="00E31B72">
        <w:rPr>
          <w:lang w:val="de-AT"/>
        </w:rPr>
        <w:t xml:space="preserve"> ihres</w:t>
      </w:r>
      <w:r>
        <w:rPr>
          <w:lang w:val="de-AT"/>
        </w:rPr>
        <w:t xml:space="preserve"> </w:t>
      </w:r>
      <w:r w:rsidR="006F20DE">
        <w:rPr>
          <w:lang w:val="de-AT"/>
        </w:rPr>
        <w:t>Leistungs- und Energiebedarfs</w:t>
      </w:r>
      <w:r w:rsidR="00A869BB">
        <w:rPr>
          <w:lang w:val="de-AT"/>
        </w:rPr>
        <w:t xml:space="preserve"> erforderlich. Die Modellierung des</w:t>
      </w:r>
      <w:r w:rsidRPr="00E06205">
        <w:rPr>
          <w:lang w:val="de-AT"/>
        </w:rPr>
        <w:t xml:space="preserve"> Elektrolichtbogenofen</w:t>
      </w:r>
      <w:r w:rsidR="00A869BB">
        <w:rPr>
          <w:lang w:val="de-AT"/>
        </w:rPr>
        <w:t>s</w:t>
      </w:r>
      <w:r w:rsidR="00860290">
        <w:rPr>
          <w:lang w:val="de-AT"/>
        </w:rPr>
        <w:t xml:space="preserve"> (EAF)</w:t>
      </w:r>
      <w:r w:rsidRPr="00E06205">
        <w:rPr>
          <w:lang w:val="de-AT"/>
        </w:rPr>
        <w:t xml:space="preserve"> </w:t>
      </w:r>
      <w:r w:rsidR="00A869BB">
        <w:rPr>
          <w:lang w:val="de-AT"/>
        </w:rPr>
        <w:t>als größter Energieverbraucher i</w:t>
      </w:r>
      <w:r w:rsidRPr="00E06205">
        <w:rPr>
          <w:lang w:val="de-AT"/>
        </w:rPr>
        <w:t>n der Prozesskette</w:t>
      </w:r>
      <w:r w:rsidR="006F20DE">
        <w:rPr>
          <w:lang w:val="de-AT"/>
        </w:rPr>
        <w:t xml:space="preserve"> </w:t>
      </w:r>
      <w:r w:rsidR="00A869BB">
        <w:rPr>
          <w:lang w:val="de-AT"/>
        </w:rPr>
        <w:t>ist</w:t>
      </w:r>
      <w:r w:rsidRPr="00E06205">
        <w:rPr>
          <w:lang w:val="de-AT"/>
        </w:rPr>
        <w:t xml:space="preserve"> </w:t>
      </w:r>
      <w:r>
        <w:rPr>
          <w:lang w:val="de-AT"/>
        </w:rPr>
        <w:t>v</w:t>
      </w:r>
      <w:r w:rsidRPr="00E06205">
        <w:rPr>
          <w:lang w:val="de-AT"/>
        </w:rPr>
        <w:t>on besonderer Bedeutung</w:t>
      </w:r>
      <w:r w:rsidR="00091E8C">
        <w:rPr>
          <w:lang w:val="de-AT"/>
        </w:rPr>
        <w:t xml:space="preserve"> und s</w:t>
      </w:r>
      <w:r w:rsidR="00E31B72">
        <w:rPr>
          <w:lang w:val="de-AT"/>
        </w:rPr>
        <w:t xml:space="preserve">eine </w:t>
      </w:r>
      <w:r w:rsidR="0098496E">
        <w:rPr>
          <w:lang w:val="de-AT"/>
        </w:rPr>
        <w:t>Modellierung wird durch mehrere Randbedingungen erschwert: stochastisches Betriebsverhalten, fehlendes Wissen über zukü</w:t>
      </w:r>
      <w:r w:rsidR="00D808A0">
        <w:rPr>
          <w:lang w:val="de-AT"/>
        </w:rPr>
        <w:t>nftige Prozessparameter und den</w:t>
      </w:r>
      <w:r w:rsidR="0098496E">
        <w:rPr>
          <w:lang w:val="de-AT"/>
        </w:rPr>
        <w:t xml:space="preserve"> Faktor Mensch</w:t>
      </w:r>
      <w:r w:rsidR="00E80B96">
        <w:rPr>
          <w:lang w:val="de-AT"/>
        </w:rPr>
        <w:t xml:space="preserve"> [</w:t>
      </w:r>
      <w:r w:rsidR="00F41A93" w:rsidRPr="00F41A93">
        <w:rPr>
          <w:lang w:val="de-AT"/>
        </w:rPr>
        <w:t>2</w:t>
      </w:r>
      <w:r w:rsidR="00E80B96">
        <w:rPr>
          <w:lang w:val="de-AT"/>
        </w:rPr>
        <w:t>]</w:t>
      </w:r>
      <w:r w:rsidR="0098496E">
        <w:rPr>
          <w:lang w:val="de-AT"/>
        </w:rPr>
        <w:t>.</w:t>
      </w:r>
      <w:r w:rsidR="000953DE">
        <w:rPr>
          <w:lang w:val="de-AT"/>
        </w:rPr>
        <w:t xml:space="preserve"> In diesem Beitrag wird ein Ansatz zur Lösung dieser Herausforderungen vorgestellt.</w:t>
      </w:r>
      <w:r w:rsidR="0098496E">
        <w:rPr>
          <w:lang w:val="de-AT"/>
        </w:rPr>
        <w:t xml:space="preserve"> </w:t>
      </w:r>
    </w:p>
    <w:p w:rsidR="00E06205" w:rsidRPr="00E06205" w:rsidRDefault="00E06205" w:rsidP="00E06205">
      <w:pPr>
        <w:rPr>
          <w:lang w:val="de-AT"/>
        </w:rPr>
      </w:pPr>
    </w:p>
    <w:p w:rsidR="00860290" w:rsidRPr="00917608" w:rsidRDefault="005E4D4F" w:rsidP="00917608">
      <w:pPr>
        <w:pStyle w:val="Ueberschrift"/>
        <w:rPr>
          <w:lang w:val="de-AT"/>
        </w:rPr>
      </w:pPr>
      <w:r w:rsidRPr="0098496E">
        <w:rPr>
          <w:lang w:val="de-AT"/>
        </w:rPr>
        <w:t>Methodische Vorgangsweise</w:t>
      </w:r>
    </w:p>
    <w:p w:rsidR="002A7C8C" w:rsidRDefault="007353D9" w:rsidP="005272F8">
      <w:r>
        <w:t>Zuerst</w:t>
      </w:r>
      <w:r w:rsidR="00FA4BFF">
        <w:t xml:space="preserve"> wu</w:t>
      </w:r>
      <w:r w:rsidR="00E21C4D">
        <w:t>rde das Prozessverhalten eines</w:t>
      </w:r>
      <w:r w:rsidR="00CB5597">
        <w:t xml:space="preserve"> </w:t>
      </w:r>
      <w:r w:rsidR="00485DF7">
        <w:t>EAF</w:t>
      </w:r>
      <w:r w:rsidR="00F80457">
        <w:t>s</w:t>
      </w:r>
      <w:r w:rsidR="00485DF7">
        <w:t xml:space="preserve"> untersucht, dessen</w:t>
      </w:r>
      <w:r w:rsidR="00860290">
        <w:t xml:space="preserve"> Hauptaufgabe </w:t>
      </w:r>
      <w:r w:rsidR="00485DF7">
        <w:t>d</w:t>
      </w:r>
      <w:r w:rsidR="00860290">
        <w:t xml:space="preserve">as </w:t>
      </w:r>
      <w:r w:rsidR="00CB5597">
        <w:t>Ein</w:t>
      </w:r>
      <w:r w:rsidR="00860290">
        <w:t>s</w:t>
      </w:r>
      <w:r w:rsidR="00A869BB">
        <w:t xml:space="preserve">chmelzen </w:t>
      </w:r>
      <w:r w:rsidR="00091E8C">
        <w:t xml:space="preserve">von </w:t>
      </w:r>
      <w:r w:rsidR="00860290">
        <w:t>Stahlschrott</w:t>
      </w:r>
      <w:r w:rsidR="00485DF7">
        <w:t xml:space="preserve"> ist</w:t>
      </w:r>
      <w:r w:rsidR="00860290">
        <w:t xml:space="preserve">. Elektrische </w:t>
      </w:r>
      <w:r w:rsidR="00485DF7">
        <w:t xml:space="preserve">und chemische </w:t>
      </w:r>
      <w:r w:rsidR="00860290">
        <w:t>E</w:t>
      </w:r>
      <w:r w:rsidR="00FB6270">
        <w:t xml:space="preserve">nergie wird durch </w:t>
      </w:r>
      <w:r w:rsidR="00CB5597">
        <w:t xml:space="preserve">3-phasige </w:t>
      </w:r>
      <w:r w:rsidR="00860290">
        <w:t xml:space="preserve">Graphitelektroden </w:t>
      </w:r>
      <w:r w:rsidR="00CB5597">
        <w:t xml:space="preserve">bzw. </w:t>
      </w:r>
      <w:r w:rsidR="00860290">
        <w:t xml:space="preserve">Gasbrenner eingebracht. </w:t>
      </w:r>
      <w:r w:rsidR="005272F8">
        <w:t xml:space="preserve">Das </w:t>
      </w:r>
      <w:r w:rsidR="00DA2312">
        <w:t>Beladen des EAF</w:t>
      </w:r>
      <w:r w:rsidR="00CB5597">
        <w:t>s</w:t>
      </w:r>
      <w:r w:rsidR="00DA2312">
        <w:t xml:space="preserve"> mit</w:t>
      </w:r>
      <w:r w:rsidR="005272F8">
        <w:t xml:space="preserve"> S</w:t>
      </w:r>
      <w:r w:rsidR="00DA2312">
        <w:t>tahlschrott</w:t>
      </w:r>
      <w:r w:rsidR="005272F8">
        <w:t xml:space="preserve"> erfolgt korbweise (3 Körbe pro Charge), wobei der Schrott </w:t>
      </w:r>
      <w:r w:rsidR="00D76024">
        <w:t>zwischendurch</w:t>
      </w:r>
      <w:r w:rsidR="005272F8">
        <w:t xml:space="preserve"> </w:t>
      </w:r>
      <w:r w:rsidR="00CB5597">
        <w:t>ein</w:t>
      </w:r>
      <w:r w:rsidR="005272F8">
        <w:t>geschmolzen wird. Im Anschluss findet eine Feinungsphase und der Abstich statt.</w:t>
      </w:r>
      <w:r w:rsidR="00860290">
        <w:t xml:space="preserve"> </w:t>
      </w:r>
      <w:r w:rsidR="00DA2312">
        <w:t>Aufgrund der festgesetzten Abfolge der Betriebsphasen</w:t>
      </w:r>
      <w:r w:rsidR="00860290">
        <w:t xml:space="preserve"> ergibt sich eine ch</w:t>
      </w:r>
      <w:r w:rsidR="00DA2312">
        <w:t>arakteristische Leistungskurve</w:t>
      </w:r>
      <w:r w:rsidR="00A869BB">
        <w:t xml:space="preserve"> mit variablen Leistungsspitzen</w:t>
      </w:r>
      <w:r w:rsidR="00DA2312">
        <w:t xml:space="preserve"> </w:t>
      </w:r>
      <w:r w:rsidR="00E21C4D">
        <w:t>(siehe Abbildung 1)</w:t>
      </w:r>
      <w:r w:rsidR="00860290">
        <w:t xml:space="preserve">. </w:t>
      </w:r>
    </w:p>
    <w:p w:rsidR="001822F9" w:rsidRDefault="00DF4188" w:rsidP="00ED0124">
      <w:pPr>
        <w:keepNext/>
        <w:jc w:val="center"/>
      </w:pPr>
      <w:r>
        <w:rPr>
          <w:noProof/>
          <w:lang w:val="de-AT" w:eastAsia="de-AT"/>
        </w:rPr>
        <w:drawing>
          <wp:inline distT="0" distB="0" distL="0" distR="0">
            <wp:extent cx="4688205" cy="2135505"/>
            <wp:effectExtent l="0" t="0" r="0" b="0"/>
            <wp:docPr id="1" name="Bild 1" descr="Leistungskurve 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istungskurve EA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3" b="6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205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2F9" w:rsidRPr="002946B8" w:rsidRDefault="001822F9" w:rsidP="001822F9">
      <w:pPr>
        <w:pStyle w:val="Abbildungsbeschriftung"/>
      </w:pPr>
      <w:r w:rsidRPr="002946B8">
        <w:t xml:space="preserve">Abbildung 1: </w:t>
      </w:r>
      <w:r w:rsidR="00091E8C">
        <w:t>EAF-</w:t>
      </w:r>
      <w:r>
        <w:t>Leistungskurve für 5 Chargen</w:t>
      </w:r>
    </w:p>
    <w:p w:rsidR="001822F9" w:rsidRDefault="001822F9" w:rsidP="001822F9">
      <w:pPr>
        <w:keepNext/>
      </w:pPr>
    </w:p>
    <w:p w:rsidR="001F1436" w:rsidRDefault="00CB5597" w:rsidP="001F1436">
      <w:r>
        <w:t xml:space="preserve">Das Modell soll für einen bestimmten zukünftigen Zeithorizont (z.B. die nächste Stunde) den zeitlich aufgelösten Energiebedarf prognostizieren. </w:t>
      </w:r>
      <w:r w:rsidR="00CE3B48">
        <w:t>Aus den Erkenntnissen</w:t>
      </w:r>
      <w:r w:rsidR="007B3FDB">
        <w:t xml:space="preserve"> </w:t>
      </w:r>
      <w:r>
        <w:t>einer</w:t>
      </w:r>
      <w:r w:rsidR="007B3FDB">
        <w:t xml:space="preserve"> </w:t>
      </w:r>
      <w:r w:rsidR="00071931">
        <w:t xml:space="preserve">betriebsphasenbasierten </w:t>
      </w:r>
      <w:r w:rsidR="007B3FDB">
        <w:t>Korrelationsanalyse</w:t>
      </w:r>
      <w:r>
        <w:t>, bei der Korrelationen des</w:t>
      </w:r>
      <w:r w:rsidR="00577337">
        <w:t xml:space="preserve"> gemessenen</w:t>
      </w:r>
      <w:r>
        <w:t xml:space="preserve"> Energiebedarfs mit </w:t>
      </w:r>
      <w:r w:rsidR="00F80457">
        <w:t>unterschiedlichen Prozessparametern</w:t>
      </w:r>
      <w:r>
        <w:t xml:space="preserve"> untersucht </w:t>
      </w:r>
      <w:r w:rsidR="00CE3B48">
        <w:t>wurden</w:t>
      </w:r>
      <w:r>
        <w:t>,</w:t>
      </w:r>
      <w:r w:rsidR="00CE3B48">
        <w:t xml:space="preserve"> </w:t>
      </w:r>
      <w:r>
        <w:t xml:space="preserve">werden </w:t>
      </w:r>
      <w:r w:rsidR="00E21C4D">
        <w:t xml:space="preserve">modellierungsrelevante </w:t>
      </w:r>
      <w:r w:rsidR="00CE3B48">
        <w:t>Anforderungen und Randbedingungen aufgestell</w:t>
      </w:r>
      <w:r>
        <w:t>t.</w:t>
      </w:r>
      <w:r w:rsidR="00CE3B48">
        <w:t xml:space="preserve"> </w:t>
      </w:r>
      <w:r w:rsidR="00071931">
        <w:t>Besonders</w:t>
      </w:r>
      <w:r w:rsidR="00CE3B48">
        <w:t xml:space="preserve"> die Schrottmasse und Betriebsphasen</w:t>
      </w:r>
      <w:r w:rsidR="00E21C4D">
        <w:t>längen</w:t>
      </w:r>
      <w:r w:rsidR="00485DF7">
        <w:t xml:space="preserve"> wurden</w:t>
      </w:r>
      <w:r>
        <w:t xml:space="preserve"> </w:t>
      </w:r>
      <w:r w:rsidR="00485DF7">
        <w:t>als ausschlaggebende Einflussf</w:t>
      </w:r>
      <w:r w:rsidR="00CE3B48">
        <w:t>aktoren f</w:t>
      </w:r>
      <w:r w:rsidR="00485DF7">
        <w:t>ür</w:t>
      </w:r>
      <w:r w:rsidR="00CE3B48">
        <w:t xml:space="preserve"> den spezifischen Energieverbrauch identifiziert. Aufgrund der prozessinhärenten Stochastik und dem fehlenden Wissen von zukünftigen Werten d</w:t>
      </w:r>
      <w:r w:rsidR="00091E8C">
        <w:t>ieser Parameter</w:t>
      </w:r>
      <w:r w:rsidR="00485DF7">
        <w:t xml:space="preserve"> wird ein zwei</w:t>
      </w:r>
      <w:r w:rsidR="00CE3B48">
        <w:t xml:space="preserve">stufiger, </w:t>
      </w:r>
      <w:r w:rsidR="00485DF7">
        <w:t>multimethodischer</w:t>
      </w:r>
      <w:r w:rsidR="00CE3B48">
        <w:t xml:space="preserve"> Modellierungsansatz verfolgt</w:t>
      </w:r>
      <w:r w:rsidR="00E21C4D">
        <w:t xml:space="preserve"> (siehe Abbildung 2)</w:t>
      </w:r>
      <w:r w:rsidR="00917608">
        <w:t xml:space="preserve">. </w:t>
      </w:r>
      <w:r w:rsidR="00485DF7">
        <w:t xml:space="preserve">Zuerst ist die </w:t>
      </w:r>
      <w:r w:rsidR="00577337">
        <w:t xml:space="preserve">Prognose </w:t>
      </w:r>
      <w:r w:rsidR="00485DF7">
        <w:t>der</w:t>
      </w:r>
      <w:r w:rsidR="00CE3B48">
        <w:t xml:space="preserve"> Werte der </w:t>
      </w:r>
      <w:r w:rsidR="00E21C4D">
        <w:t xml:space="preserve">zukünftigen </w:t>
      </w:r>
      <w:r w:rsidR="00CE3B48">
        <w:t>Input-Parame</w:t>
      </w:r>
      <w:r w:rsidR="00917608">
        <w:t>ter</w:t>
      </w:r>
      <w:r w:rsidR="00071931">
        <w:t xml:space="preserve"> </w:t>
      </w:r>
      <w:r w:rsidR="00485DF7">
        <w:t>notwendig</w:t>
      </w:r>
      <w:r w:rsidR="00E21C4D">
        <w:t>.</w:t>
      </w:r>
      <w:r w:rsidR="00DA2312">
        <w:t xml:space="preserve"> D</w:t>
      </w:r>
      <w:r w:rsidR="00577337">
        <w:t>azu werden in der gegenständigen Arbeit unterschiedliche Ansätze untersucht</w:t>
      </w:r>
      <w:r w:rsidR="00071931">
        <w:t xml:space="preserve"> und</w:t>
      </w:r>
      <w:r w:rsidR="00E21C4D">
        <w:t xml:space="preserve"> deren Ergebnisse miteinander verglichen. </w:t>
      </w:r>
      <w:r w:rsidR="00DA2312">
        <w:t>Die Ergebnisse</w:t>
      </w:r>
      <w:r w:rsidR="0006364D">
        <w:t xml:space="preserve"> </w:t>
      </w:r>
      <w:r w:rsidR="00DA2312">
        <w:t>d</w:t>
      </w:r>
      <w:r w:rsidR="000D42EC">
        <w:t>es</w:t>
      </w:r>
      <w:r w:rsidR="00DA2312">
        <w:t xml:space="preserve"> am </w:t>
      </w:r>
      <w:r w:rsidR="00A869BB">
        <w:t>besten</w:t>
      </w:r>
      <w:r w:rsidR="00DA2312">
        <w:t xml:space="preserve"> geeigneten </w:t>
      </w:r>
      <w:r w:rsidR="000D42EC">
        <w:t xml:space="preserve">Ansatzes </w:t>
      </w:r>
      <w:r w:rsidR="00DA2312">
        <w:t xml:space="preserve">dienen dazu, </w:t>
      </w:r>
      <w:r w:rsidR="00E21C4D">
        <w:t>in einem physikalisch-statistischen Prozessablauf</w:t>
      </w:r>
      <w:r w:rsidR="000D42EC">
        <w:t>m</w:t>
      </w:r>
      <w:r w:rsidR="00E21C4D">
        <w:t xml:space="preserve">odell </w:t>
      </w:r>
      <w:r w:rsidR="000D42EC">
        <w:t xml:space="preserve">die jeweils zugehörige </w:t>
      </w:r>
      <w:r w:rsidR="00E21C4D">
        <w:t xml:space="preserve">Energiemenge </w:t>
      </w:r>
      <w:r w:rsidR="00DA2312">
        <w:t xml:space="preserve">zu </w:t>
      </w:r>
      <w:r w:rsidR="00E21C4D">
        <w:t>ber</w:t>
      </w:r>
      <w:r w:rsidR="00DA2312">
        <w:t>echnen</w:t>
      </w:r>
      <w:r w:rsidR="00E21C4D">
        <w:t xml:space="preserve">, aus der </w:t>
      </w:r>
      <w:r w:rsidR="00E21C4D">
        <w:lastRenderedPageBreak/>
        <w:t>anschließend mithilfe von multidimensionalen Markov-Ketten die charakteristische Leistungskurve erzeugt wird.</w:t>
      </w:r>
    </w:p>
    <w:p w:rsidR="00284F40" w:rsidRPr="00284F40" w:rsidRDefault="00284F40" w:rsidP="001F1436">
      <w:pPr>
        <w:rPr>
          <w:sz w:val="8"/>
          <w:szCs w:val="8"/>
        </w:rPr>
      </w:pPr>
    </w:p>
    <w:p w:rsidR="00D76CE2" w:rsidRDefault="00DF4188" w:rsidP="00DA2312">
      <w:pPr>
        <w:keepNext/>
        <w:jc w:val="center"/>
      </w:pPr>
      <w:r>
        <w:rPr>
          <w:noProof/>
          <w:lang w:val="de-AT" w:eastAsia="de-AT"/>
        </w:rPr>
        <w:drawing>
          <wp:inline distT="0" distB="0" distL="0" distR="0">
            <wp:extent cx="3599180" cy="3028315"/>
            <wp:effectExtent l="0" t="0" r="0" b="0"/>
            <wp:docPr id="2" name="Bild 2" descr="Mod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d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302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CE2" w:rsidRPr="00D76CE2" w:rsidRDefault="00D76CE2" w:rsidP="00D76CE2">
      <w:pPr>
        <w:pStyle w:val="Abbildungsbeschriftung"/>
        <w:rPr>
          <w:sz w:val="8"/>
          <w:szCs w:val="8"/>
        </w:rPr>
      </w:pPr>
    </w:p>
    <w:p w:rsidR="00D76CE2" w:rsidRPr="002946B8" w:rsidRDefault="00D76CE2" w:rsidP="00D76CE2">
      <w:pPr>
        <w:pStyle w:val="Abbildungsbeschriftung"/>
      </w:pPr>
      <w:r>
        <w:t>Abbildung 2</w:t>
      </w:r>
      <w:r w:rsidRPr="002946B8">
        <w:t xml:space="preserve">: </w:t>
      </w:r>
      <w:r>
        <w:t>zweistufiger Ansatz der EAF-Modellierung</w:t>
      </w:r>
    </w:p>
    <w:p w:rsidR="00CE3B48" w:rsidRDefault="00CE3B48" w:rsidP="00227125"/>
    <w:p w:rsidR="0006364D" w:rsidRDefault="005E4D4F" w:rsidP="00707C4E">
      <w:pPr>
        <w:pStyle w:val="Ueberschrift"/>
      </w:pPr>
      <w:r w:rsidRPr="005E4D4F">
        <w:t>Ergebnisse und Schlussfolgerungen</w:t>
      </w:r>
    </w:p>
    <w:p w:rsidR="004B5F7E" w:rsidRDefault="00CF07DE" w:rsidP="00227125">
      <w:r>
        <w:t xml:space="preserve">Die </w:t>
      </w:r>
      <w:r w:rsidR="004B5F7E">
        <w:t>durchgeführten Arbeitsschritte umfassen eine Datenanalyse</w:t>
      </w:r>
      <w:r w:rsidR="000A764D">
        <w:t xml:space="preserve"> zeitlich hochaufgelöster Realdaten</w:t>
      </w:r>
      <w:r w:rsidR="008415AB">
        <w:t xml:space="preserve"> und der daraus folgenden Ableitung der relevanten</w:t>
      </w:r>
      <w:r w:rsidR="00D539AC">
        <w:t xml:space="preserve"> Parameter für die </w:t>
      </w:r>
      <w:r w:rsidR="00ED0124">
        <w:t>EAF-</w:t>
      </w:r>
      <w:r w:rsidR="00D539AC">
        <w:t>Modellierung</w:t>
      </w:r>
      <w:r w:rsidR="00704642">
        <w:t>. A</w:t>
      </w:r>
      <w:r w:rsidR="00B354E2">
        <w:t>ußerdem</w:t>
      </w:r>
      <w:r w:rsidR="005272F8">
        <w:t xml:space="preserve"> die Erprobung von zwei</w:t>
      </w:r>
      <w:r w:rsidR="00A42C6E">
        <w:t xml:space="preserve"> </w:t>
      </w:r>
      <w:r w:rsidR="00F80457">
        <w:t xml:space="preserve">datengetriebenen </w:t>
      </w:r>
      <w:r w:rsidR="00A42C6E">
        <w:t xml:space="preserve">Ansätzen </w:t>
      </w:r>
      <w:r w:rsidR="004B5F7E">
        <w:t>zur Bestimmung der zukünftigen Input-Werte für die Schrottgewichte</w:t>
      </w:r>
      <w:r w:rsidR="007353D9">
        <w:t>.</w:t>
      </w:r>
      <w:r w:rsidR="007B7F41">
        <w:t xml:space="preserve"> </w:t>
      </w:r>
      <w:r w:rsidR="007353D9">
        <w:t>E</w:t>
      </w:r>
      <w:r w:rsidR="00A42C6E">
        <w:t xml:space="preserve">inerseits </w:t>
      </w:r>
      <w:r w:rsidR="004B5F7E">
        <w:t xml:space="preserve">mithilfe </w:t>
      </w:r>
      <w:r w:rsidR="00A869BB">
        <w:t>von Wahrscheinlichkeitsv</w:t>
      </w:r>
      <w:r w:rsidR="005272F8">
        <w:t>erteilungen</w:t>
      </w:r>
      <w:r w:rsidR="00A869BB">
        <w:t xml:space="preserve"> historischer Daten</w:t>
      </w:r>
      <w:r w:rsidR="00A42C6E">
        <w:t xml:space="preserve">, andererseits mithilfe </w:t>
      </w:r>
      <w:r w:rsidR="00284F40">
        <w:t>eines rekursiven neuronalen Netzes</w:t>
      </w:r>
      <w:r w:rsidR="008415AB">
        <w:t xml:space="preserve">. Als Fehlerwerte werden der </w:t>
      </w:r>
      <w:r w:rsidR="005272F8">
        <w:t>root mean squared error</w:t>
      </w:r>
      <w:r w:rsidR="00A42C6E">
        <w:t xml:space="preserve"> (RMSE</w:t>
      </w:r>
      <w:r w:rsidR="005272F8">
        <w:t>)</w:t>
      </w:r>
      <w:r w:rsidR="00D83908">
        <w:t>, mean average error</w:t>
      </w:r>
      <w:r w:rsidR="00A42C6E">
        <w:t xml:space="preserve"> (MAE)</w:t>
      </w:r>
      <w:r w:rsidR="00D83908">
        <w:t xml:space="preserve"> und </w:t>
      </w:r>
      <w:r w:rsidR="005272F8">
        <w:t>mean average percentage error</w:t>
      </w:r>
      <w:r w:rsidR="00A42C6E">
        <w:t xml:space="preserve"> (MAPE</w:t>
      </w:r>
      <w:r w:rsidR="005272F8">
        <w:t>)</w:t>
      </w:r>
      <w:r>
        <w:t xml:space="preserve"> </w:t>
      </w:r>
      <w:r w:rsidR="008415AB">
        <w:t>angeführt.</w:t>
      </w:r>
      <w:r w:rsidR="005272F8">
        <w:t xml:space="preserve"> </w:t>
      </w:r>
      <w:r>
        <w:t xml:space="preserve">Die Fehlermaße in Tabelle 1 zeigen, dass die Bestimmung der zukünftigen Schrottmassen mit einem rekursiven neuronalen Netz bessere Ergebnisse liefert als mit historischen </w:t>
      </w:r>
      <w:r w:rsidR="00870969">
        <w:t>Wahrscheinlichkeits</w:t>
      </w:r>
      <w:r>
        <w:t>verteilungen.</w:t>
      </w:r>
    </w:p>
    <w:p w:rsidR="00560070" w:rsidRPr="00560070" w:rsidRDefault="00560070" w:rsidP="00D83908">
      <w:pPr>
        <w:pStyle w:val="Abbildungsbeschriftung"/>
        <w:rPr>
          <w:rFonts w:cs="Arial"/>
          <w:lang w:val="de-A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1395"/>
        <w:gridCol w:w="1314"/>
        <w:gridCol w:w="1391"/>
        <w:gridCol w:w="1080"/>
        <w:gridCol w:w="1072"/>
        <w:gridCol w:w="1080"/>
      </w:tblGrid>
      <w:tr w:rsidR="00D83908" w:rsidRPr="00743D86" w:rsidTr="00743D86">
        <w:trPr>
          <w:trHeight w:val="553"/>
        </w:trPr>
        <w:tc>
          <w:tcPr>
            <w:tcW w:w="1657" w:type="dxa"/>
            <w:shd w:val="clear" w:color="auto" w:fill="auto"/>
            <w:vAlign w:val="center"/>
          </w:tcPr>
          <w:p w:rsidR="00D83908" w:rsidRPr="00743D86" w:rsidRDefault="00D83908" w:rsidP="00743D86">
            <w:pPr>
              <w:jc w:val="center"/>
              <w:rPr>
                <w:rFonts w:eastAsia="Calibri" w:cs="Arial"/>
                <w:sz w:val="18"/>
                <w:szCs w:val="18"/>
                <w:lang w:val="en-GB" w:eastAsia="en-US" w:bidi="en-US"/>
              </w:rPr>
            </w:pPr>
            <w:r w:rsidRPr="00743D86">
              <w:rPr>
                <w:rFonts w:eastAsia="Calibri" w:cs="Arial"/>
                <w:b/>
                <w:sz w:val="18"/>
                <w:szCs w:val="18"/>
                <w:lang w:val="en-GB" w:eastAsia="en-US" w:bidi="en-US"/>
              </w:rPr>
              <w:t>Input-Parameter</w:t>
            </w:r>
            <w:r w:rsidRPr="00743D86">
              <w:rPr>
                <w:rFonts w:eastAsia="Calibri" w:cs="Arial"/>
                <w:sz w:val="18"/>
                <w:szCs w:val="18"/>
                <w:lang w:val="en-GB" w:eastAsia="en-US" w:bidi="en-US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83908" w:rsidRPr="00743D86" w:rsidRDefault="00D83908" w:rsidP="00743D86">
            <w:pPr>
              <w:jc w:val="center"/>
              <w:rPr>
                <w:rFonts w:eastAsia="Calibri" w:cs="Arial"/>
                <w:b/>
                <w:sz w:val="18"/>
                <w:szCs w:val="18"/>
                <w:lang w:val="en-GB" w:eastAsia="en-US" w:bidi="en-US"/>
              </w:rPr>
            </w:pPr>
            <w:r w:rsidRPr="00743D86">
              <w:rPr>
                <w:rFonts w:eastAsia="Calibri" w:cs="Arial"/>
                <w:b/>
                <w:sz w:val="18"/>
                <w:szCs w:val="18"/>
                <w:lang w:val="en-GB" w:eastAsia="en-US" w:bidi="en-US"/>
              </w:rPr>
              <w:t>RMSE</w:t>
            </w:r>
            <w:r w:rsidR="00A42C6E">
              <w:rPr>
                <w:rFonts w:eastAsia="Calibri" w:cs="Arial"/>
                <w:b/>
                <w:sz w:val="18"/>
                <w:szCs w:val="18"/>
                <w:lang w:val="en-GB" w:eastAsia="en-US" w:bidi="en-US"/>
              </w:rPr>
              <w:t xml:space="preserve"> [-]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83908" w:rsidRPr="00743D86" w:rsidRDefault="00D83908" w:rsidP="00743D86">
            <w:pPr>
              <w:jc w:val="center"/>
              <w:rPr>
                <w:rFonts w:eastAsia="Calibri" w:cs="Arial"/>
                <w:b/>
                <w:sz w:val="18"/>
                <w:szCs w:val="18"/>
                <w:lang w:val="en-GB" w:eastAsia="en-US" w:bidi="en-US"/>
              </w:rPr>
            </w:pPr>
            <w:r w:rsidRPr="00743D86">
              <w:rPr>
                <w:rFonts w:eastAsia="Calibri" w:cs="Arial"/>
                <w:b/>
                <w:sz w:val="18"/>
                <w:szCs w:val="18"/>
                <w:lang w:val="en-GB" w:eastAsia="en-US" w:bidi="en-US"/>
              </w:rPr>
              <w:t>MAE</w:t>
            </w:r>
            <w:r w:rsidR="00A42C6E">
              <w:rPr>
                <w:rFonts w:eastAsia="Calibri" w:cs="Arial"/>
                <w:b/>
                <w:sz w:val="18"/>
                <w:szCs w:val="18"/>
                <w:lang w:val="en-GB" w:eastAsia="en-US" w:bidi="en-US"/>
              </w:rPr>
              <w:t xml:space="preserve"> [-]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D83908" w:rsidRPr="00743D86" w:rsidRDefault="00D83908" w:rsidP="00743D86">
            <w:pPr>
              <w:jc w:val="center"/>
              <w:rPr>
                <w:rFonts w:eastAsia="Calibri" w:cs="Arial"/>
                <w:b/>
                <w:sz w:val="18"/>
                <w:szCs w:val="18"/>
                <w:lang w:val="en-GB" w:eastAsia="en-US" w:bidi="en-US"/>
              </w:rPr>
            </w:pPr>
            <w:r w:rsidRPr="00743D86">
              <w:rPr>
                <w:rFonts w:eastAsia="Calibri" w:cs="Arial"/>
                <w:b/>
                <w:sz w:val="18"/>
                <w:szCs w:val="18"/>
                <w:lang w:val="en-GB" w:eastAsia="en-US" w:bidi="en-US"/>
              </w:rPr>
              <w:t>MAPE</w:t>
            </w:r>
            <w:r w:rsidR="00A42C6E">
              <w:rPr>
                <w:rFonts w:eastAsia="Calibri" w:cs="Arial"/>
                <w:b/>
                <w:sz w:val="18"/>
                <w:szCs w:val="18"/>
                <w:lang w:val="en-GB" w:eastAsia="en-US" w:bidi="en-US"/>
              </w:rPr>
              <w:t xml:space="preserve"> [%]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D83908" w:rsidRPr="00743D86" w:rsidRDefault="00D83908" w:rsidP="00743D86">
            <w:pPr>
              <w:jc w:val="center"/>
              <w:rPr>
                <w:rFonts w:eastAsia="Calibri" w:cs="Arial"/>
                <w:b/>
                <w:sz w:val="18"/>
                <w:szCs w:val="18"/>
                <w:lang w:val="en-GB" w:eastAsia="en-US" w:bidi="en-US"/>
              </w:rPr>
            </w:pPr>
            <w:r w:rsidRPr="00743D86">
              <w:rPr>
                <w:rFonts w:eastAsia="Calibri" w:cs="Arial"/>
                <w:b/>
                <w:sz w:val="18"/>
                <w:szCs w:val="18"/>
                <w:lang w:val="en-GB" w:eastAsia="en-US" w:bidi="en-US"/>
              </w:rPr>
              <w:t>RMSE</w:t>
            </w:r>
            <w:r w:rsidR="00A42C6E">
              <w:rPr>
                <w:rFonts w:eastAsia="Calibri" w:cs="Arial"/>
                <w:b/>
                <w:sz w:val="18"/>
                <w:szCs w:val="18"/>
                <w:lang w:val="en-GB" w:eastAsia="en-US" w:bidi="en-US"/>
              </w:rPr>
              <w:t xml:space="preserve"> [-]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D83908" w:rsidRPr="00743D86" w:rsidRDefault="00D83908" w:rsidP="00743D86">
            <w:pPr>
              <w:jc w:val="center"/>
              <w:rPr>
                <w:rFonts w:eastAsia="Calibri" w:cs="Arial"/>
                <w:b/>
                <w:sz w:val="18"/>
                <w:szCs w:val="18"/>
                <w:lang w:val="en-GB" w:eastAsia="en-US" w:bidi="en-US"/>
              </w:rPr>
            </w:pPr>
            <w:r w:rsidRPr="00743D86">
              <w:rPr>
                <w:rFonts w:eastAsia="Calibri" w:cs="Arial"/>
                <w:b/>
                <w:sz w:val="18"/>
                <w:szCs w:val="18"/>
                <w:lang w:val="en-GB" w:eastAsia="en-US" w:bidi="en-US"/>
              </w:rPr>
              <w:t>MAE</w:t>
            </w:r>
            <w:r w:rsidR="00A42C6E">
              <w:rPr>
                <w:rFonts w:eastAsia="Calibri" w:cs="Arial"/>
                <w:b/>
                <w:sz w:val="18"/>
                <w:szCs w:val="18"/>
                <w:lang w:val="en-GB" w:eastAsia="en-US" w:bidi="en-US"/>
              </w:rPr>
              <w:t xml:space="preserve"> [-]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D83908" w:rsidRPr="00743D86" w:rsidRDefault="00D83908" w:rsidP="00743D86">
            <w:pPr>
              <w:jc w:val="center"/>
              <w:rPr>
                <w:rFonts w:eastAsia="Calibri" w:cs="Arial"/>
                <w:b/>
                <w:sz w:val="18"/>
                <w:szCs w:val="18"/>
                <w:lang w:val="en-GB" w:eastAsia="en-US" w:bidi="en-US"/>
              </w:rPr>
            </w:pPr>
            <w:r w:rsidRPr="00743D86">
              <w:rPr>
                <w:rFonts w:eastAsia="Calibri" w:cs="Arial"/>
                <w:b/>
                <w:sz w:val="18"/>
                <w:szCs w:val="18"/>
                <w:lang w:val="en-GB" w:eastAsia="en-US" w:bidi="en-US"/>
              </w:rPr>
              <w:t>MAPE</w:t>
            </w:r>
            <w:r w:rsidR="00A42C6E">
              <w:rPr>
                <w:rFonts w:eastAsia="Calibri" w:cs="Arial"/>
                <w:b/>
                <w:sz w:val="18"/>
                <w:szCs w:val="18"/>
                <w:lang w:val="en-GB" w:eastAsia="en-US" w:bidi="en-US"/>
              </w:rPr>
              <w:t xml:space="preserve"> [%]</w:t>
            </w:r>
          </w:p>
        </w:tc>
      </w:tr>
      <w:tr w:rsidR="00D83908" w:rsidRPr="00743D86" w:rsidTr="00743D86">
        <w:trPr>
          <w:trHeight w:val="274"/>
        </w:trPr>
        <w:tc>
          <w:tcPr>
            <w:tcW w:w="1657" w:type="dxa"/>
            <w:shd w:val="clear" w:color="auto" w:fill="auto"/>
            <w:vAlign w:val="center"/>
          </w:tcPr>
          <w:p w:rsidR="00B354E2" w:rsidRPr="00743D86" w:rsidRDefault="00B354E2" w:rsidP="00743D86">
            <w:pPr>
              <w:jc w:val="center"/>
              <w:rPr>
                <w:rFonts w:eastAsia="Calibri" w:cs="Arial"/>
                <w:sz w:val="16"/>
                <w:szCs w:val="16"/>
                <w:lang w:val="en-GB" w:eastAsia="en-US" w:bidi="en-US"/>
              </w:rPr>
            </w:pPr>
          </w:p>
        </w:tc>
        <w:tc>
          <w:tcPr>
            <w:tcW w:w="4211" w:type="dxa"/>
            <w:gridSpan w:val="3"/>
            <w:shd w:val="clear" w:color="auto" w:fill="auto"/>
            <w:vAlign w:val="center"/>
          </w:tcPr>
          <w:p w:rsidR="00D83908" w:rsidRPr="00743D86" w:rsidRDefault="00D83908" w:rsidP="00870969">
            <w:pPr>
              <w:jc w:val="center"/>
              <w:rPr>
                <w:rFonts w:eastAsia="Calibri" w:cs="Arial"/>
                <w:sz w:val="16"/>
                <w:szCs w:val="16"/>
                <w:lang w:val="en-GB" w:eastAsia="en-US" w:bidi="en-US"/>
              </w:rPr>
            </w:pPr>
            <w:r w:rsidRPr="00743D86">
              <w:rPr>
                <w:rFonts w:eastAsia="Calibri" w:cs="Arial"/>
                <w:sz w:val="16"/>
                <w:szCs w:val="16"/>
                <w:lang w:val="en-GB" w:eastAsia="en-US" w:bidi="en-US"/>
              </w:rPr>
              <w:t xml:space="preserve">Historische </w:t>
            </w:r>
            <w:r w:rsidR="00870969">
              <w:rPr>
                <w:rFonts w:eastAsia="Calibri" w:cs="Arial"/>
                <w:sz w:val="16"/>
                <w:szCs w:val="16"/>
                <w:lang w:val="en-GB" w:eastAsia="en-US" w:bidi="en-US"/>
              </w:rPr>
              <w:t>Wahrscheinlichkeits</w:t>
            </w:r>
            <w:r w:rsidRPr="00743D86">
              <w:rPr>
                <w:rFonts w:eastAsia="Calibri" w:cs="Arial"/>
                <w:sz w:val="16"/>
                <w:szCs w:val="16"/>
                <w:lang w:val="en-GB" w:eastAsia="en-US" w:bidi="en-US"/>
              </w:rPr>
              <w:t>verteilungen</w:t>
            </w:r>
          </w:p>
        </w:tc>
        <w:tc>
          <w:tcPr>
            <w:tcW w:w="3312" w:type="dxa"/>
            <w:gridSpan w:val="3"/>
            <w:shd w:val="clear" w:color="auto" w:fill="auto"/>
            <w:vAlign w:val="center"/>
          </w:tcPr>
          <w:p w:rsidR="00D83908" w:rsidRPr="00743D86" w:rsidRDefault="00D83908" w:rsidP="00743D86">
            <w:pPr>
              <w:jc w:val="center"/>
              <w:rPr>
                <w:rFonts w:eastAsia="Calibri" w:cs="Arial"/>
                <w:sz w:val="16"/>
                <w:szCs w:val="16"/>
                <w:lang w:val="en-GB" w:eastAsia="en-US" w:bidi="en-US"/>
              </w:rPr>
            </w:pPr>
            <w:r w:rsidRPr="00743D86">
              <w:rPr>
                <w:rFonts w:eastAsia="Calibri" w:cs="Arial"/>
                <w:sz w:val="16"/>
                <w:szCs w:val="16"/>
                <w:lang w:val="en-GB" w:eastAsia="en-US" w:bidi="en-US"/>
              </w:rPr>
              <w:t>Rekursives neuronales Netz</w:t>
            </w:r>
          </w:p>
        </w:tc>
      </w:tr>
      <w:tr w:rsidR="00D83908" w:rsidRPr="00743D86" w:rsidTr="00743D86">
        <w:tc>
          <w:tcPr>
            <w:tcW w:w="1657" w:type="dxa"/>
            <w:shd w:val="clear" w:color="auto" w:fill="auto"/>
            <w:vAlign w:val="center"/>
          </w:tcPr>
          <w:p w:rsidR="00D83908" w:rsidRPr="00743D86" w:rsidRDefault="00D83908" w:rsidP="00743D86">
            <w:pPr>
              <w:jc w:val="center"/>
              <w:rPr>
                <w:rFonts w:eastAsia="Calibri" w:cs="Arial"/>
                <w:sz w:val="18"/>
                <w:szCs w:val="18"/>
                <w:lang w:val="en-GB" w:eastAsia="en-US" w:bidi="en-US"/>
              </w:rPr>
            </w:pPr>
            <w:r w:rsidRPr="00743D86">
              <w:rPr>
                <w:rFonts w:eastAsia="Calibri" w:cs="Arial"/>
                <w:sz w:val="18"/>
                <w:szCs w:val="18"/>
                <w:lang w:val="en-GB" w:eastAsia="en-US" w:bidi="en-US"/>
              </w:rPr>
              <w:t>Korb 1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83908" w:rsidRPr="00743D86" w:rsidRDefault="00B354E2" w:rsidP="00743D86">
            <w:pPr>
              <w:jc w:val="center"/>
              <w:rPr>
                <w:rFonts w:eastAsia="Calibri" w:cs="Arial"/>
                <w:sz w:val="18"/>
                <w:szCs w:val="18"/>
                <w:lang w:val="en-GB" w:eastAsia="en-US" w:bidi="en-US"/>
              </w:rPr>
            </w:pPr>
            <w:r w:rsidRPr="00743D86">
              <w:rPr>
                <w:rFonts w:eastAsia="Calibri" w:cs="Arial"/>
                <w:sz w:val="18"/>
                <w:szCs w:val="18"/>
                <w:lang w:val="en-GB" w:eastAsia="en-US" w:bidi="en-US"/>
              </w:rPr>
              <w:t>0,93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83908" w:rsidRPr="00743D86" w:rsidRDefault="00B354E2" w:rsidP="00B354E2">
            <w:pPr>
              <w:rPr>
                <w:rFonts w:eastAsia="Calibri" w:cs="Arial"/>
                <w:sz w:val="18"/>
                <w:szCs w:val="18"/>
                <w:lang w:val="en-GB" w:eastAsia="en-US" w:bidi="en-US"/>
              </w:rPr>
            </w:pPr>
            <w:r w:rsidRPr="00743D86">
              <w:rPr>
                <w:rFonts w:eastAsia="Calibri" w:cs="Arial"/>
                <w:sz w:val="18"/>
                <w:szCs w:val="18"/>
                <w:lang w:val="en-GB" w:eastAsia="en-US" w:bidi="en-US"/>
              </w:rPr>
              <w:t xml:space="preserve">       0,03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D83908" w:rsidRPr="00743D86" w:rsidRDefault="00B354E2" w:rsidP="00B354E2">
            <w:pPr>
              <w:rPr>
                <w:rFonts w:eastAsia="Calibri" w:cs="Arial"/>
                <w:sz w:val="18"/>
                <w:szCs w:val="18"/>
                <w:lang w:val="en-GB" w:eastAsia="en-US" w:bidi="en-US"/>
              </w:rPr>
            </w:pPr>
            <w:r w:rsidRPr="00743D86">
              <w:rPr>
                <w:rFonts w:eastAsia="Calibri" w:cs="Arial"/>
                <w:sz w:val="18"/>
                <w:szCs w:val="18"/>
                <w:lang w:val="en-GB" w:eastAsia="en-US" w:bidi="en-US"/>
              </w:rPr>
              <w:t xml:space="preserve">         3,31</w:t>
            </w:r>
          </w:p>
        </w:tc>
        <w:tc>
          <w:tcPr>
            <w:tcW w:w="1104" w:type="dxa"/>
            <w:shd w:val="clear" w:color="auto" w:fill="auto"/>
          </w:tcPr>
          <w:p w:rsidR="00D83908" w:rsidRPr="00743D86" w:rsidRDefault="00D83908" w:rsidP="00743D86">
            <w:pPr>
              <w:tabs>
                <w:tab w:val="right" w:pos="689"/>
              </w:tabs>
              <w:ind w:left="-20" w:firstLine="20"/>
              <w:jc w:val="center"/>
              <w:rPr>
                <w:rFonts w:eastAsia="Calibri" w:cs="Arial"/>
                <w:sz w:val="18"/>
                <w:szCs w:val="18"/>
                <w:lang w:val="en-GB" w:eastAsia="en-US" w:bidi="en-US"/>
              </w:rPr>
            </w:pPr>
            <w:r w:rsidRPr="00743D86">
              <w:rPr>
                <w:rFonts w:eastAsia="Calibri" w:cs="Arial"/>
                <w:sz w:val="18"/>
                <w:szCs w:val="18"/>
                <w:lang w:val="en-GB" w:eastAsia="en-US" w:bidi="en-US"/>
              </w:rPr>
              <w:t>0,64</w:t>
            </w:r>
          </w:p>
        </w:tc>
        <w:tc>
          <w:tcPr>
            <w:tcW w:w="1104" w:type="dxa"/>
            <w:shd w:val="clear" w:color="auto" w:fill="auto"/>
          </w:tcPr>
          <w:p w:rsidR="00D83908" w:rsidRPr="00743D86" w:rsidRDefault="00D83908" w:rsidP="00D83908">
            <w:pPr>
              <w:rPr>
                <w:rFonts w:eastAsia="Calibri" w:cs="Arial"/>
                <w:sz w:val="18"/>
                <w:szCs w:val="18"/>
                <w:lang w:val="en-GB" w:eastAsia="en-US" w:bidi="en-US"/>
              </w:rPr>
            </w:pPr>
            <w:r w:rsidRPr="00743D86">
              <w:rPr>
                <w:rFonts w:eastAsia="Calibri" w:cs="Arial"/>
                <w:sz w:val="18"/>
                <w:szCs w:val="18"/>
                <w:lang w:val="en-GB" w:eastAsia="en-US" w:bidi="en-US"/>
              </w:rPr>
              <w:t xml:space="preserve">     0,22</w:t>
            </w:r>
          </w:p>
        </w:tc>
        <w:tc>
          <w:tcPr>
            <w:tcW w:w="1104" w:type="dxa"/>
            <w:shd w:val="clear" w:color="auto" w:fill="auto"/>
          </w:tcPr>
          <w:p w:rsidR="00D83908" w:rsidRPr="00743D86" w:rsidRDefault="00D83908" w:rsidP="00743D86">
            <w:pPr>
              <w:jc w:val="center"/>
              <w:rPr>
                <w:rFonts w:eastAsia="Calibri" w:cs="Arial"/>
                <w:sz w:val="18"/>
                <w:szCs w:val="18"/>
                <w:lang w:val="en-GB" w:eastAsia="en-US" w:bidi="en-US"/>
              </w:rPr>
            </w:pPr>
            <w:r w:rsidRPr="00743D86">
              <w:rPr>
                <w:rFonts w:eastAsia="Calibri" w:cs="Arial"/>
                <w:sz w:val="18"/>
                <w:szCs w:val="18"/>
                <w:lang w:val="en-GB" w:eastAsia="en-US" w:bidi="en-US"/>
              </w:rPr>
              <w:t xml:space="preserve">  2,32</w:t>
            </w:r>
          </w:p>
        </w:tc>
      </w:tr>
      <w:tr w:rsidR="00D83908" w:rsidRPr="00743D86" w:rsidTr="00743D86">
        <w:tc>
          <w:tcPr>
            <w:tcW w:w="1657" w:type="dxa"/>
            <w:shd w:val="clear" w:color="auto" w:fill="auto"/>
            <w:vAlign w:val="center"/>
          </w:tcPr>
          <w:p w:rsidR="00D83908" w:rsidRPr="00743D86" w:rsidRDefault="00D83908" w:rsidP="00743D86">
            <w:pPr>
              <w:jc w:val="center"/>
              <w:rPr>
                <w:rFonts w:eastAsia="Calibri" w:cs="Arial"/>
                <w:sz w:val="18"/>
                <w:szCs w:val="18"/>
                <w:lang w:val="en-GB" w:eastAsia="en-US" w:bidi="en-US"/>
              </w:rPr>
            </w:pPr>
            <w:r w:rsidRPr="00743D86">
              <w:rPr>
                <w:rFonts w:eastAsia="Calibri" w:cs="Arial"/>
                <w:sz w:val="18"/>
                <w:szCs w:val="18"/>
                <w:lang w:val="en-GB" w:eastAsia="en-US" w:bidi="en-US"/>
              </w:rPr>
              <w:t>Korb 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83908" w:rsidRPr="00743D86" w:rsidRDefault="00B354E2" w:rsidP="00743D86">
            <w:pPr>
              <w:jc w:val="center"/>
              <w:rPr>
                <w:rFonts w:eastAsia="Calibri" w:cs="Arial"/>
                <w:sz w:val="18"/>
                <w:szCs w:val="18"/>
                <w:lang w:val="en-GB" w:eastAsia="en-US" w:bidi="en-US"/>
              </w:rPr>
            </w:pPr>
            <w:r w:rsidRPr="00743D86">
              <w:rPr>
                <w:rFonts w:eastAsia="Calibri" w:cs="Arial"/>
                <w:sz w:val="18"/>
                <w:szCs w:val="18"/>
                <w:lang w:val="en-GB" w:eastAsia="en-US" w:bidi="en-US"/>
              </w:rPr>
              <w:t>2,05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83908" w:rsidRPr="00743D86" w:rsidRDefault="00B354E2" w:rsidP="00B354E2">
            <w:pPr>
              <w:rPr>
                <w:rFonts w:eastAsia="Calibri" w:cs="Arial"/>
                <w:sz w:val="18"/>
                <w:szCs w:val="18"/>
                <w:lang w:val="en-GB" w:eastAsia="en-US" w:bidi="en-US"/>
              </w:rPr>
            </w:pPr>
            <w:r w:rsidRPr="00743D86">
              <w:rPr>
                <w:rFonts w:eastAsia="Calibri" w:cs="Arial"/>
                <w:sz w:val="18"/>
                <w:szCs w:val="18"/>
                <w:lang w:val="en-GB" w:eastAsia="en-US" w:bidi="en-US"/>
              </w:rPr>
              <w:t xml:space="preserve">      -0,19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D83908" w:rsidRPr="00743D86" w:rsidRDefault="00B354E2" w:rsidP="00B354E2">
            <w:pPr>
              <w:rPr>
                <w:rFonts w:eastAsia="Calibri" w:cs="Arial"/>
                <w:sz w:val="18"/>
                <w:szCs w:val="18"/>
                <w:lang w:val="en-GB" w:eastAsia="en-US" w:bidi="en-US"/>
              </w:rPr>
            </w:pPr>
            <w:r w:rsidRPr="00743D86">
              <w:rPr>
                <w:rFonts w:eastAsia="Calibri" w:cs="Arial"/>
                <w:sz w:val="18"/>
                <w:szCs w:val="18"/>
                <w:lang w:val="en-GB" w:eastAsia="en-US" w:bidi="en-US"/>
              </w:rPr>
              <w:t xml:space="preserve">       15,37</w:t>
            </w:r>
          </w:p>
        </w:tc>
        <w:tc>
          <w:tcPr>
            <w:tcW w:w="1104" w:type="dxa"/>
            <w:shd w:val="clear" w:color="auto" w:fill="auto"/>
          </w:tcPr>
          <w:p w:rsidR="00D83908" w:rsidRPr="00743D86" w:rsidRDefault="00D83908" w:rsidP="00743D86">
            <w:pPr>
              <w:tabs>
                <w:tab w:val="right" w:pos="689"/>
              </w:tabs>
              <w:jc w:val="center"/>
              <w:rPr>
                <w:rFonts w:eastAsia="Calibri" w:cs="Arial"/>
                <w:sz w:val="18"/>
                <w:szCs w:val="18"/>
                <w:lang w:val="en-GB" w:eastAsia="en-US" w:bidi="en-US"/>
              </w:rPr>
            </w:pPr>
            <w:r w:rsidRPr="00743D86">
              <w:rPr>
                <w:rFonts w:eastAsia="Calibri" w:cs="Arial"/>
                <w:sz w:val="18"/>
                <w:szCs w:val="18"/>
                <w:lang w:val="en-GB" w:eastAsia="en-US" w:bidi="en-US"/>
              </w:rPr>
              <w:t>1,48</w:t>
            </w:r>
          </w:p>
        </w:tc>
        <w:tc>
          <w:tcPr>
            <w:tcW w:w="1104" w:type="dxa"/>
            <w:shd w:val="clear" w:color="auto" w:fill="auto"/>
          </w:tcPr>
          <w:p w:rsidR="00D83908" w:rsidRPr="00743D86" w:rsidRDefault="00D83908" w:rsidP="00D83908">
            <w:pPr>
              <w:rPr>
                <w:rFonts w:eastAsia="Calibri" w:cs="Arial"/>
                <w:sz w:val="18"/>
                <w:szCs w:val="18"/>
                <w:lang w:val="en-GB" w:eastAsia="en-US" w:bidi="en-US"/>
              </w:rPr>
            </w:pPr>
            <w:r w:rsidRPr="00743D86">
              <w:rPr>
                <w:rFonts w:eastAsia="Calibri" w:cs="Arial"/>
                <w:sz w:val="18"/>
                <w:szCs w:val="18"/>
                <w:lang w:val="en-GB" w:eastAsia="en-US" w:bidi="en-US"/>
              </w:rPr>
              <w:t xml:space="preserve">    -0,08</w:t>
            </w:r>
          </w:p>
        </w:tc>
        <w:tc>
          <w:tcPr>
            <w:tcW w:w="1104" w:type="dxa"/>
            <w:shd w:val="clear" w:color="auto" w:fill="auto"/>
          </w:tcPr>
          <w:p w:rsidR="00D83908" w:rsidRPr="00743D86" w:rsidRDefault="00D83908" w:rsidP="00743D86">
            <w:pPr>
              <w:jc w:val="center"/>
              <w:rPr>
                <w:rFonts w:eastAsia="Calibri" w:cs="Arial"/>
                <w:sz w:val="18"/>
                <w:szCs w:val="18"/>
                <w:lang w:val="en-GB" w:eastAsia="en-US" w:bidi="en-US"/>
              </w:rPr>
            </w:pPr>
            <w:r w:rsidRPr="00743D86">
              <w:rPr>
                <w:rFonts w:eastAsia="Calibri" w:cs="Arial"/>
                <w:sz w:val="18"/>
                <w:szCs w:val="18"/>
                <w:lang w:val="en-GB" w:eastAsia="en-US" w:bidi="en-US"/>
              </w:rPr>
              <w:t>11,11</w:t>
            </w:r>
          </w:p>
        </w:tc>
      </w:tr>
      <w:tr w:rsidR="00D83908" w:rsidRPr="00743D86" w:rsidTr="00743D86">
        <w:trPr>
          <w:trHeight w:val="224"/>
        </w:trPr>
        <w:tc>
          <w:tcPr>
            <w:tcW w:w="1657" w:type="dxa"/>
            <w:shd w:val="clear" w:color="auto" w:fill="auto"/>
            <w:vAlign w:val="center"/>
          </w:tcPr>
          <w:p w:rsidR="00D83908" w:rsidRPr="00743D86" w:rsidRDefault="00D83908" w:rsidP="00743D86">
            <w:pPr>
              <w:jc w:val="center"/>
              <w:rPr>
                <w:rFonts w:eastAsia="Calibri" w:cs="Arial"/>
                <w:sz w:val="18"/>
                <w:szCs w:val="18"/>
                <w:lang w:val="en-GB" w:eastAsia="en-US" w:bidi="en-US"/>
              </w:rPr>
            </w:pPr>
            <w:r w:rsidRPr="00743D86">
              <w:rPr>
                <w:rFonts w:eastAsia="Calibri" w:cs="Arial"/>
                <w:sz w:val="18"/>
                <w:szCs w:val="18"/>
                <w:lang w:val="en-GB" w:eastAsia="en-US" w:bidi="en-US"/>
              </w:rPr>
              <w:t>Korb 3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83908" w:rsidRPr="00743D86" w:rsidRDefault="00B354E2" w:rsidP="00743D86">
            <w:pPr>
              <w:jc w:val="center"/>
              <w:rPr>
                <w:rFonts w:eastAsia="Calibri" w:cs="Arial"/>
                <w:sz w:val="18"/>
                <w:szCs w:val="18"/>
                <w:lang w:val="en-GB" w:eastAsia="en-US" w:bidi="en-US"/>
              </w:rPr>
            </w:pPr>
            <w:r w:rsidRPr="00743D86">
              <w:rPr>
                <w:rFonts w:eastAsia="Calibri" w:cs="Arial"/>
                <w:sz w:val="18"/>
                <w:szCs w:val="18"/>
                <w:lang w:val="en-GB" w:eastAsia="en-US" w:bidi="en-US"/>
              </w:rPr>
              <w:t>1,19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83908" w:rsidRPr="00743D86" w:rsidRDefault="00B354E2" w:rsidP="00B354E2">
            <w:pPr>
              <w:rPr>
                <w:rFonts w:eastAsia="Calibri" w:cs="Arial"/>
                <w:sz w:val="18"/>
                <w:szCs w:val="18"/>
                <w:lang w:val="en-GB" w:eastAsia="en-US" w:bidi="en-US"/>
              </w:rPr>
            </w:pPr>
            <w:r w:rsidRPr="00743D86">
              <w:rPr>
                <w:rFonts w:eastAsia="Calibri" w:cs="Arial"/>
                <w:sz w:val="18"/>
                <w:szCs w:val="18"/>
                <w:lang w:val="en-GB" w:eastAsia="en-US" w:bidi="en-US"/>
              </w:rPr>
              <w:t xml:space="preserve">      -0,44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D83908" w:rsidRPr="00743D86" w:rsidRDefault="00B354E2" w:rsidP="00B354E2">
            <w:pPr>
              <w:rPr>
                <w:rFonts w:eastAsia="Calibri" w:cs="Arial"/>
                <w:sz w:val="18"/>
                <w:szCs w:val="18"/>
                <w:lang w:val="en-GB" w:eastAsia="en-US" w:bidi="en-US"/>
              </w:rPr>
            </w:pPr>
            <w:r w:rsidRPr="00743D86">
              <w:rPr>
                <w:rFonts w:eastAsia="Calibri" w:cs="Arial"/>
                <w:sz w:val="18"/>
                <w:szCs w:val="18"/>
                <w:lang w:val="en-GB" w:eastAsia="en-US" w:bidi="en-US"/>
              </w:rPr>
              <w:t xml:space="preserve">         7,35</w:t>
            </w:r>
          </w:p>
        </w:tc>
        <w:tc>
          <w:tcPr>
            <w:tcW w:w="1104" w:type="dxa"/>
            <w:shd w:val="clear" w:color="auto" w:fill="auto"/>
          </w:tcPr>
          <w:p w:rsidR="00D83908" w:rsidRPr="00743D86" w:rsidRDefault="00D83908" w:rsidP="00743D86">
            <w:pPr>
              <w:tabs>
                <w:tab w:val="right" w:pos="689"/>
              </w:tabs>
              <w:jc w:val="center"/>
              <w:rPr>
                <w:rFonts w:eastAsia="Calibri" w:cs="Arial"/>
                <w:sz w:val="18"/>
                <w:szCs w:val="18"/>
                <w:lang w:val="en-GB" w:eastAsia="en-US" w:bidi="en-US"/>
              </w:rPr>
            </w:pPr>
            <w:r w:rsidRPr="00743D86">
              <w:rPr>
                <w:rFonts w:eastAsia="Calibri" w:cs="Arial"/>
                <w:sz w:val="18"/>
                <w:szCs w:val="18"/>
                <w:lang w:val="en-GB" w:eastAsia="en-US" w:bidi="en-US"/>
              </w:rPr>
              <w:t>0,76</w:t>
            </w:r>
          </w:p>
        </w:tc>
        <w:tc>
          <w:tcPr>
            <w:tcW w:w="1104" w:type="dxa"/>
            <w:shd w:val="clear" w:color="auto" w:fill="auto"/>
          </w:tcPr>
          <w:p w:rsidR="00D83908" w:rsidRPr="00743D86" w:rsidRDefault="00D83908" w:rsidP="00D83908">
            <w:pPr>
              <w:rPr>
                <w:rFonts w:eastAsia="Calibri" w:cs="Arial"/>
                <w:sz w:val="18"/>
                <w:szCs w:val="18"/>
                <w:lang w:val="en-GB" w:eastAsia="en-US" w:bidi="en-US"/>
              </w:rPr>
            </w:pPr>
            <w:r w:rsidRPr="00743D86">
              <w:rPr>
                <w:rFonts w:eastAsia="Calibri" w:cs="Arial"/>
                <w:sz w:val="18"/>
                <w:szCs w:val="18"/>
                <w:lang w:val="en-GB" w:eastAsia="en-US" w:bidi="en-US"/>
              </w:rPr>
              <w:t xml:space="preserve">    -0,25</w:t>
            </w:r>
          </w:p>
        </w:tc>
        <w:tc>
          <w:tcPr>
            <w:tcW w:w="1104" w:type="dxa"/>
            <w:shd w:val="clear" w:color="auto" w:fill="auto"/>
          </w:tcPr>
          <w:p w:rsidR="00D83908" w:rsidRPr="00743D86" w:rsidRDefault="00D83908" w:rsidP="00743D86">
            <w:pPr>
              <w:jc w:val="center"/>
              <w:rPr>
                <w:rFonts w:eastAsia="Calibri" w:cs="Arial"/>
                <w:sz w:val="18"/>
                <w:szCs w:val="18"/>
                <w:lang w:val="en-GB" w:eastAsia="en-US" w:bidi="en-US"/>
              </w:rPr>
            </w:pPr>
            <w:r w:rsidRPr="00743D86">
              <w:rPr>
                <w:rFonts w:eastAsia="Calibri" w:cs="Arial"/>
                <w:sz w:val="18"/>
                <w:szCs w:val="18"/>
                <w:lang w:val="en-GB" w:eastAsia="en-US" w:bidi="en-US"/>
              </w:rPr>
              <w:t xml:space="preserve">  4,61</w:t>
            </w:r>
          </w:p>
        </w:tc>
      </w:tr>
    </w:tbl>
    <w:p w:rsidR="005272F8" w:rsidRDefault="00560070" w:rsidP="00560070">
      <w:pPr>
        <w:pStyle w:val="Abbildungsbeschriftung"/>
        <w:spacing w:before="60"/>
        <w:rPr>
          <w:rFonts w:cs="Arial"/>
          <w:lang w:val="de-AT"/>
        </w:rPr>
      </w:pPr>
      <w:bookmarkStart w:id="1" w:name="_Ref110351207"/>
      <w:r w:rsidRPr="00560070">
        <w:rPr>
          <w:rFonts w:cs="Arial"/>
          <w:lang w:val="de-AT"/>
        </w:rPr>
        <w:t>T</w:t>
      </w:r>
      <w:bookmarkEnd w:id="1"/>
      <w:r w:rsidRPr="00560070">
        <w:rPr>
          <w:rFonts w:cs="Arial"/>
          <w:lang w:val="de-AT"/>
        </w:rPr>
        <w:t xml:space="preserve">abelle 1: </w:t>
      </w:r>
      <w:r w:rsidRPr="00560070">
        <w:t>Fehlermaße</w:t>
      </w:r>
      <w:r w:rsidR="00071931">
        <w:rPr>
          <w:rFonts w:cs="Arial"/>
          <w:lang w:val="de-AT"/>
        </w:rPr>
        <w:t xml:space="preserve">: </w:t>
      </w:r>
      <w:r w:rsidRPr="00560070">
        <w:rPr>
          <w:rFonts w:cs="Arial"/>
          <w:lang w:val="de-AT"/>
        </w:rPr>
        <w:t xml:space="preserve">Bestimmung </w:t>
      </w:r>
      <w:r w:rsidR="00A869BB">
        <w:rPr>
          <w:rFonts w:cs="Arial"/>
          <w:lang w:val="de-AT"/>
        </w:rPr>
        <w:t>zukünftiger</w:t>
      </w:r>
      <w:r>
        <w:rPr>
          <w:rFonts w:cs="Arial"/>
          <w:lang w:val="de-AT"/>
        </w:rPr>
        <w:t xml:space="preserve"> Schrottmassen</w:t>
      </w:r>
    </w:p>
    <w:p w:rsidR="00CF07DE" w:rsidRDefault="00CF07DE" w:rsidP="00D83908">
      <w:pPr>
        <w:tabs>
          <w:tab w:val="right" w:pos="7371"/>
        </w:tabs>
        <w:rPr>
          <w:lang w:val="de-AT"/>
        </w:rPr>
      </w:pPr>
    </w:p>
    <w:p w:rsidR="004B5F7E" w:rsidRDefault="004B5F7E" w:rsidP="00D83908">
      <w:pPr>
        <w:tabs>
          <w:tab w:val="right" w:pos="7371"/>
        </w:tabs>
      </w:pPr>
      <w:r>
        <w:t xml:space="preserve">Grundsätzlich ist anzumerken, dass die Qualität der Energie- und Leistungsprognose </w:t>
      </w:r>
      <w:r w:rsidR="00ED0124">
        <w:t>von der Qualität der</w:t>
      </w:r>
      <w:r>
        <w:t xml:space="preserve"> prognostizierten I</w:t>
      </w:r>
      <w:r w:rsidR="00ED0124">
        <w:t>nput-Werte</w:t>
      </w:r>
      <w:r>
        <w:t xml:space="preserve"> abhängt. D</w:t>
      </w:r>
      <w:r w:rsidR="00E01742">
        <w:t xml:space="preserve">aher </w:t>
      </w:r>
      <w:r w:rsidR="00B354E2">
        <w:t xml:space="preserve">ist die </w:t>
      </w:r>
      <w:r>
        <w:t xml:space="preserve">Auswahl </w:t>
      </w:r>
      <w:r w:rsidR="003C2CFD">
        <w:t>des Ansatzes</w:t>
      </w:r>
      <w:r>
        <w:t xml:space="preserve"> zur Bestimmung dieser vo</w:t>
      </w:r>
      <w:r w:rsidR="00B354E2">
        <w:t xml:space="preserve">n großem Einfluss. </w:t>
      </w:r>
      <w:r w:rsidR="003C2CFD">
        <w:t>In der gegenständigen Arbeit</w:t>
      </w:r>
      <w:r>
        <w:t xml:space="preserve"> soll </w:t>
      </w:r>
      <w:r w:rsidR="00D539AC">
        <w:t xml:space="preserve">außerdem </w:t>
      </w:r>
      <w:r>
        <w:t xml:space="preserve">gezeigt werden, dass die Kombination von verschiedenen Modellierungs- und Prognoseansätzen notwendig ist, um dieser Aufgabenstellung gerecht zu werden. Trotzdem ist ein Trade-Off zwischen Genauigkeit, zeitlicher Auflösung und Prognosehorizont </w:t>
      </w:r>
      <w:r w:rsidR="00E01742">
        <w:t>zu erwarten.</w:t>
      </w:r>
    </w:p>
    <w:p w:rsidR="002946B8" w:rsidRPr="00803917" w:rsidRDefault="002946B8" w:rsidP="00227125"/>
    <w:p w:rsidR="005E4D4F" w:rsidRPr="00D76CE2" w:rsidRDefault="005E4D4F" w:rsidP="00A156E4">
      <w:pPr>
        <w:pStyle w:val="Ueberschrift"/>
        <w:rPr>
          <w:lang w:val="en-GB"/>
        </w:rPr>
      </w:pPr>
      <w:bookmarkStart w:id="2" w:name="_Toc26086066"/>
      <w:bookmarkStart w:id="3" w:name="_Toc68418491"/>
      <w:r w:rsidRPr="00D76CE2">
        <w:rPr>
          <w:lang w:val="en-GB"/>
        </w:rPr>
        <w:t>Literatur</w:t>
      </w:r>
      <w:bookmarkEnd w:id="2"/>
      <w:bookmarkEnd w:id="3"/>
    </w:p>
    <w:p w:rsidR="005E4D4F" w:rsidRPr="00F41A93" w:rsidRDefault="00F41A93" w:rsidP="00D76CE2">
      <w:pPr>
        <w:ind w:left="426" w:hanging="426"/>
        <w:rPr>
          <w:lang w:val="en-GB"/>
        </w:rPr>
      </w:pPr>
      <w:bookmarkStart w:id="4" w:name="_CTVL001d6b7d8d946214be5ae7afe1f3a1726a6"/>
      <w:r>
        <w:rPr>
          <w:lang w:val="en-GB"/>
        </w:rPr>
        <w:t>[1]</w:t>
      </w:r>
      <w:r>
        <w:rPr>
          <w:lang w:val="en-GB"/>
        </w:rPr>
        <w:tab/>
        <w:t>IEA (2022):</w:t>
      </w:r>
      <w:r w:rsidRPr="00F41A93">
        <w:rPr>
          <w:lang w:val="en-GB"/>
        </w:rPr>
        <w:t xml:space="preserve"> “Iron and Steel Technology Roadmap: Towards more sustainable steelmakin</w:t>
      </w:r>
      <w:r>
        <w:rPr>
          <w:lang w:val="en-GB"/>
        </w:rPr>
        <w:t xml:space="preserve">g,” Paris, 2021. </w:t>
      </w:r>
      <w:r w:rsidRPr="00F41A93">
        <w:rPr>
          <w:lang w:val="en-GB"/>
        </w:rPr>
        <w:t>Available: https://​iea.blob.core.windows.net​/​assets/​eb0c8ec1-​3665-​4959-​97d0-​187ceca189a8/​Iron_​and_​Steel_​Technology_​Roadmap.pdf</w:t>
      </w:r>
      <w:bookmarkEnd w:id="4"/>
    </w:p>
    <w:p w:rsidR="005E4D4F" w:rsidRPr="00F41A93" w:rsidRDefault="00483B87" w:rsidP="00071931">
      <w:pPr>
        <w:ind w:left="426" w:hanging="426"/>
        <w:rPr>
          <w:lang w:val="en-GB"/>
        </w:rPr>
      </w:pPr>
      <w:r w:rsidRPr="00F41A93">
        <w:rPr>
          <w:lang w:val="en-GB"/>
        </w:rPr>
        <w:t>[2]</w:t>
      </w:r>
      <w:r w:rsidR="00071931">
        <w:rPr>
          <w:lang w:val="en-GB"/>
        </w:rPr>
        <w:tab/>
      </w:r>
      <w:r w:rsidR="00F41A93" w:rsidRPr="00F41A93">
        <w:rPr>
          <w:lang w:val="en-GB"/>
        </w:rPr>
        <w:t>Zawodnik V. et al. (2022): “The Role of Forecasting Energy Consumption and Demand in the Iron and Steel Industry – By the Example of an Electric Arc Furnace”, NEFI-Konferenz 2022, Linz, 2022.</w:t>
      </w:r>
      <w:r w:rsidR="00F41A93">
        <w:rPr>
          <w:lang w:val="en-GB"/>
        </w:rPr>
        <w:t xml:space="preserve"> Available: </w:t>
      </w:r>
      <w:hyperlink r:id="rId9" w:history="1">
        <w:r w:rsidR="0006364D" w:rsidRPr="00071931">
          <w:rPr>
            <w:lang w:val="en-GB"/>
          </w:rPr>
          <w:t>https://www.nefi.at/de/nefi-konferenz/programm</w:t>
        </w:r>
      </w:hyperlink>
    </w:p>
    <w:sectPr w:rsidR="005E4D4F" w:rsidRPr="00F41A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E2D" w:rsidRDefault="00595E2D">
      <w:r>
        <w:separator/>
      </w:r>
    </w:p>
  </w:endnote>
  <w:endnote w:type="continuationSeparator" w:id="0">
    <w:p w:rsidR="00595E2D" w:rsidRDefault="0059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E2D" w:rsidRDefault="00595E2D">
      <w:r>
        <w:separator/>
      </w:r>
    </w:p>
  </w:footnote>
  <w:footnote w:type="continuationSeparator" w:id="0">
    <w:p w:rsidR="00595E2D" w:rsidRDefault="00595E2D">
      <w:r>
        <w:continuationSeparator/>
      </w:r>
    </w:p>
  </w:footnote>
  <w:footnote w:id="1">
    <w:p w:rsidR="00D53E86" w:rsidRPr="00FB69AE" w:rsidRDefault="00D53E86" w:rsidP="002014D3">
      <w:r w:rsidRPr="00A115D2">
        <w:rPr>
          <w:rStyle w:val="Funotenzeichen"/>
        </w:rPr>
        <w:footnoteRef/>
      </w:r>
      <w:r w:rsidRPr="00D53E86">
        <w:t xml:space="preserve"> </w:t>
      </w:r>
      <w:r w:rsidR="00FF0F6F">
        <w:t xml:space="preserve">Jungautorin, Parkstraße 31, 8700 Leoben, +43 3842 402 5420, </w:t>
      </w:r>
      <w:hyperlink r:id="rId1" w:history="1">
        <w:r w:rsidR="00FF0F6F" w:rsidRPr="007E1BB7">
          <w:rPr>
            <w:rStyle w:val="Hyperlink"/>
            <w:color w:val="000000"/>
            <w:u w:val="none"/>
          </w:rPr>
          <w:t>vanessa.zawodnik@unileoben.ac.at</w:t>
        </w:r>
      </w:hyperlink>
      <w:r w:rsidR="00FF0F6F" w:rsidRPr="007E1BB7">
        <w:rPr>
          <w:color w:val="000000"/>
        </w:rPr>
        <w:t>, www.evt-unileoben.at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071F"/>
    <w:multiLevelType w:val="multilevel"/>
    <w:tmpl w:val="0978BA90"/>
    <w:numStyleLink w:val="Aufzhlung"/>
  </w:abstractNum>
  <w:abstractNum w:abstractNumId="1" w15:restartNumberingAfterBreak="0">
    <w:nsid w:val="17567494"/>
    <w:multiLevelType w:val="hybridMultilevel"/>
    <w:tmpl w:val="0978BA90"/>
    <w:lvl w:ilvl="0" w:tplc="085E66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75967"/>
    <w:multiLevelType w:val="multilevel"/>
    <w:tmpl w:val="0978BA90"/>
    <w:numStyleLink w:val="Aufzhlung"/>
  </w:abstractNum>
  <w:abstractNum w:abstractNumId="3" w15:restartNumberingAfterBreak="0">
    <w:nsid w:val="6B5E4F19"/>
    <w:multiLevelType w:val="multilevel"/>
    <w:tmpl w:val="0978BA90"/>
    <w:styleLink w:val="Aufzhlung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4F"/>
    <w:rsid w:val="00010E92"/>
    <w:rsid w:val="0006364D"/>
    <w:rsid w:val="00071931"/>
    <w:rsid w:val="00091E8C"/>
    <w:rsid w:val="000953DE"/>
    <w:rsid w:val="000A462D"/>
    <w:rsid w:val="000A764D"/>
    <w:rsid w:val="000D42EC"/>
    <w:rsid w:val="001822F9"/>
    <w:rsid w:val="001D249D"/>
    <w:rsid w:val="001F1436"/>
    <w:rsid w:val="002014D3"/>
    <w:rsid w:val="00227125"/>
    <w:rsid w:val="00262FD5"/>
    <w:rsid w:val="00284F40"/>
    <w:rsid w:val="002946B8"/>
    <w:rsid w:val="002A7C8C"/>
    <w:rsid w:val="002E6443"/>
    <w:rsid w:val="00335E63"/>
    <w:rsid w:val="00350F98"/>
    <w:rsid w:val="003B676F"/>
    <w:rsid w:val="003C28FE"/>
    <w:rsid w:val="003C2CFD"/>
    <w:rsid w:val="004063CA"/>
    <w:rsid w:val="00483B87"/>
    <w:rsid w:val="00485DF7"/>
    <w:rsid w:val="004B5B1C"/>
    <w:rsid w:val="004B5F7E"/>
    <w:rsid w:val="00501256"/>
    <w:rsid w:val="0050174D"/>
    <w:rsid w:val="005272F8"/>
    <w:rsid w:val="00534FA7"/>
    <w:rsid w:val="00560070"/>
    <w:rsid w:val="00577337"/>
    <w:rsid w:val="00595E2D"/>
    <w:rsid w:val="005B1ADB"/>
    <w:rsid w:val="005B7F36"/>
    <w:rsid w:val="005E4D4F"/>
    <w:rsid w:val="006A3EF7"/>
    <w:rsid w:val="006F20DE"/>
    <w:rsid w:val="00704642"/>
    <w:rsid w:val="00707C4E"/>
    <w:rsid w:val="007353D9"/>
    <w:rsid w:val="007378C8"/>
    <w:rsid w:val="00741EC0"/>
    <w:rsid w:val="00743D86"/>
    <w:rsid w:val="00750260"/>
    <w:rsid w:val="007911CA"/>
    <w:rsid w:val="007B3FDB"/>
    <w:rsid w:val="007B5210"/>
    <w:rsid w:val="007B7F41"/>
    <w:rsid w:val="007E1BB7"/>
    <w:rsid w:val="00803917"/>
    <w:rsid w:val="008415AB"/>
    <w:rsid w:val="00850CA1"/>
    <w:rsid w:val="00860290"/>
    <w:rsid w:val="00870969"/>
    <w:rsid w:val="00890D17"/>
    <w:rsid w:val="00917608"/>
    <w:rsid w:val="009410D4"/>
    <w:rsid w:val="0098496E"/>
    <w:rsid w:val="00A07737"/>
    <w:rsid w:val="00A156E4"/>
    <w:rsid w:val="00A42C6E"/>
    <w:rsid w:val="00A6148D"/>
    <w:rsid w:val="00A869BB"/>
    <w:rsid w:val="00B33BDB"/>
    <w:rsid w:val="00B354E2"/>
    <w:rsid w:val="00BC406B"/>
    <w:rsid w:val="00BF05FA"/>
    <w:rsid w:val="00CA4915"/>
    <w:rsid w:val="00CB5597"/>
    <w:rsid w:val="00CE1A70"/>
    <w:rsid w:val="00CE3B48"/>
    <w:rsid w:val="00CF07DE"/>
    <w:rsid w:val="00D539AC"/>
    <w:rsid w:val="00D53E86"/>
    <w:rsid w:val="00D736F8"/>
    <w:rsid w:val="00D76024"/>
    <w:rsid w:val="00D76CE2"/>
    <w:rsid w:val="00D808A0"/>
    <w:rsid w:val="00D83908"/>
    <w:rsid w:val="00DA2312"/>
    <w:rsid w:val="00DF4188"/>
    <w:rsid w:val="00E01742"/>
    <w:rsid w:val="00E06205"/>
    <w:rsid w:val="00E21C4D"/>
    <w:rsid w:val="00E31B72"/>
    <w:rsid w:val="00E520E6"/>
    <w:rsid w:val="00E80B96"/>
    <w:rsid w:val="00ED0124"/>
    <w:rsid w:val="00EE539F"/>
    <w:rsid w:val="00F41A93"/>
    <w:rsid w:val="00F80457"/>
    <w:rsid w:val="00FA4BFF"/>
    <w:rsid w:val="00FB6270"/>
    <w:rsid w:val="00FB69AE"/>
    <w:rsid w:val="00FD5D56"/>
    <w:rsid w:val="00FE36C2"/>
    <w:rsid w:val="00FE7B9A"/>
    <w:rsid w:val="00FF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A57680-E6C7-4869-A246-1FF41A62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7125"/>
    <w:pPr>
      <w:jc w:val="both"/>
    </w:pPr>
    <w:rPr>
      <w:rFonts w:ascii="Arial" w:hAnsi="Arial"/>
      <w:szCs w:val="24"/>
      <w:lang w:val="de-DE" w:eastAsia="ko-KR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Funotenzeichen">
    <w:name w:val="footnote reference"/>
    <w:aliases w:val="Footnote Reference Number,-E Fußnotenzeichen,(Diplomarbeit FZ),(Diplomarbeit FZ)1,(Diplomarbeit FZ)2,(Diplomarbeit FZ)3,(Diplomarbeit FZ)4,(Diplomarbeit FZ)5,(Diplomarbeit FZ)6,(Diplomarbeit FZ)7,(Diplomarbeit FZ)8,(Diplomarbeit FZ)9"/>
    <w:semiHidden/>
    <w:rsid w:val="005E4D4F"/>
    <w:rPr>
      <w:vertAlign w:val="superscript"/>
    </w:rPr>
  </w:style>
  <w:style w:type="paragraph" w:styleId="Titel">
    <w:name w:val="Title"/>
    <w:basedOn w:val="Standard"/>
    <w:link w:val="TitelZchn"/>
    <w:qFormat/>
    <w:rsid w:val="005E4D4F"/>
    <w:pPr>
      <w:pageBreakBefore/>
      <w:spacing w:before="120" w:after="120"/>
      <w:jc w:val="center"/>
    </w:pPr>
    <w:rPr>
      <w:b/>
      <w:snapToGrid w:val="0"/>
      <w:kern w:val="28"/>
      <w:sz w:val="32"/>
      <w:szCs w:val="20"/>
      <w:lang w:eastAsia="en-US"/>
    </w:rPr>
  </w:style>
  <w:style w:type="numbering" w:customStyle="1" w:styleId="Aufzhlung">
    <w:name w:val="Aufzählung"/>
    <w:basedOn w:val="KeineListe"/>
    <w:rsid w:val="00227125"/>
    <w:pPr>
      <w:numPr>
        <w:numId w:val="2"/>
      </w:numPr>
    </w:pPr>
  </w:style>
  <w:style w:type="paragraph" w:customStyle="1" w:styleId="Abbildungsbeschriftung">
    <w:name w:val="Abbildungsbeschriftung"/>
    <w:basedOn w:val="Standard"/>
    <w:rsid w:val="002946B8"/>
    <w:rPr>
      <w:i/>
      <w:iCs/>
    </w:rPr>
  </w:style>
  <w:style w:type="character" w:customStyle="1" w:styleId="TitelZchn">
    <w:name w:val="Titel Zchn"/>
    <w:link w:val="Titel"/>
    <w:rsid w:val="005E4D4F"/>
    <w:rPr>
      <w:rFonts w:ascii="Arial" w:hAnsi="Arial"/>
      <w:b/>
      <w:snapToGrid w:val="0"/>
      <w:kern w:val="28"/>
      <w:sz w:val="32"/>
      <w:lang w:val="de-DE" w:eastAsia="en-US" w:bidi="ar-SA"/>
    </w:rPr>
  </w:style>
  <w:style w:type="paragraph" w:customStyle="1" w:styleId="Ueberschrift">
    <w:name w:val="Ueberschrift"/>
    <w:basedOn w:val="Standard"/>
    <w:link w:val="UeberschriftChar"/>
    <w:rsid w:val="00A07737"/>
    <w:pPr>
      <w:spacing w:before="120" w:after="120"/>
    </w:pPr>
    <w:rPr>
      <w:b/>
      <w:spacing w:val="-5"/>
      <w:sz w:val="22"/>
      <w:lang w:eastAsia="de-DE"/>
    </w:rPr>
  </w:style>
  <w:style w:type="character" w:styleId="Hyperlink">
    <w:name w:val="Hyperlink"/>
    <w:uiPriority w:val="99"/>
    <w:unhideWhenUsed/>
    <w:rsid w:val="00FF0F6F"/>
    <w:rPr>
      <w:color w:val="0563C1"/>
      <w:u w:val="single"/>
    </w:rPr>
  </w:style>
  <w:style w:type="character" w:customStyle="1" w:styleId="UeberschriftChar">
    <w:name w:val="Ueberschrift Char"/>
    <w:link w:val="Ueberschrift"/>
    <w:rsid w:val="00A07737"/>
    <w:rPr>
      <w:rFonts w:ascii="Arial" w:hAnsi="Arial"/>
      <w:b/>
      <w:spacing w:val="-5"/>
      <w:sz w:val="22"/>
      <w:szCs w:val="24"/>
      <w:lang w:val="de-DE" w:eastAsia="de-DE" w:bidi="ar-SA"/>
    </w:rPr>
  </w:style>
  <w:style w:type="paragraph" w:customStyle="1" w:styleId="Abstract-Titel">
    <w:name w:val="Abstract-Titel"/>
    <w:basedOn w:val="Titel"/>
    <w:rsid w:val="005E4D4F"/>
    <w:rPr>
      <w:rFonts w:cs="Arial"/>
    </w:rPr>
  </w:style>
  <w:style w:type="paragraph" w:customStyle="1" w:styleId="AutorenOrganisation">
    <w:name w:val="Autoren &amp; Organisation"/>
    <w:basedOn w:val="Standard"/>
    <w:rsid w:val="00010E92"/>
    <w:pPr>
      <w:tabs>
        <w:tab w:val="left" w:pos="1560"/>
      </w:tabs>
      <w:overflowPunct w:val="0"/>
      <w:autoSpaceDE w:val="0"/>
      <w:autoSpaceDN w:val="0"/>
      <w:adjustRightInd w:val="0"/>
      <w:jc w:val="center"/>
      <w:textAlignment w:val="baseline"/>
    </w:pPr>
    <w:rPr>
      <w:rFonts w:cs="Arial"/>
      <w:color w:val="181512"/>
      <w:spacing w:val="-5"/>
      <w:sz w:val="24"/>
      <w:lang w:val="de-AT"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1822F9"/>
    <w:rPr>
      <w:b/>
      <w:bCs/>
      <w:szCs w:val="20"/>
    </w:rPr>
  </w:style>
  <w:style w:type="paragraph" w:customStyle="1" w:styleId="CitaviBibliographyEntry">
    <w:name w:val="Citavi Bibliography Entry"/>
    <w:basedOn w:val="Standard"/>
    <w:link w:val="CitaviBibliographyEntryZchn"/>
    <w:uiPriority w:val="99"/>
    <w:rsid w:val="00F41A93"/>
    <w:pPr>
      <w:tabs>
        <w:tab w:val="left" w:pos="454"/>
      </w:tabs>
      <w:spacing w:line="288" w:lineRule="auto"/>
      <w:ind w:left="454" w:hanging="454"/>
      <w:jc w:val="left"/>
    </w:pPr>
    <w:rPr>
      <w:rFonts w:eastAsia="Calibri"/>
      <w:sz w:val="22"/>
      <w:lang w:val="de-AT" w:eastAsia="de-AT"/>
    </w:rPr>
  </w:style>
  <w:style w:type="paragraph" w:customStyle="1" w:styleId="Literatur">
    <w:name w:val="Literatur"/>
    <w:basedOn w:val="Standard"/>
    <w:rsid w:val="005E4D4F"/>
    <w:pPr>
      <w:ind w:left="284" w:hanging="284"/>
    </w:pPr>
    <w:rPr>
      <w:rFonts w:cs="Arial"/>
      <w:szCs w:val="20"/>
      <w:lang w:eastAsia="de-DE"/>
    </w:rPr>
  </w:style>
  <w:style w:type="character" w:customStyle="1" w:styleId="CitaviBibliographyEntryZchn">
    <w:name w:val="Citavi Bibliography Entry Zchn"/>
    <w:link w:val="CitaviBibliographyEntry"/>
    <w:uiPriority w:val="99"/>
    <w:rsid w:val="00F41A93"/>
    <w:rPr>
      <w:rFonts w:ascii="Arial" w:eastAsia="Calibri" w:hAnsi="Arial"/>
      <w:sz w:val="22"/>
      <w:szCs w:val="24"/>
    </w:rPr>
  </w:style>
  <w:style w:type="table" w:styleId="Tabellenraster">
    <w:name w:val="Table Grid"/>
    <w:basedOn w:val="NormaleTabelle"/>
    <w:uiPriority w:val="59"/>
    <w:rsid w:val="005600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Table">
    <w:name w:val="Caption (Table)"/>
    <w:basedOn w:val="Standard"/>
    <w:link w:val="CaptionTableZchn"/>
    <w:qFormat/>
    <w:rsid w:val="00560070"/>
    <w:pPr>
      <w:spacing w:line="288" w:lineRule="auto"/>
      <w:jc w:val="left"/>
    </w:pPr>
    <w:rPr>
      <w:rFonts w:ascii="Calibri" w:hAnsi="Calibri"/>
      <w:b/>
      <w:i/>
      <w:szCs w:val="20"/>
      <w:lang w:val="en-GB" w:eastAsia="en-US" w:bidi="en-US"/>
    </w:rPr>
  </w:style>
  <w:style w:type="character" w:customStyle="1" w:styleId="CaptionTableZchn">
    <w:name w:val="Caption (Table) Zchn"/>
    <w:link w:val="CaptionTable"/>
    <w:rsid w:val="00560070"/>
    <w:rPr>
      <w:rFonts w:ascii="Calibri" w:hAnsi="Calibri"/>
      <w:b/>
      <w:i/>
      <w:lang w:val="en-GB" w:eastAsia="en-US" w:bidi="en-US"/>
    </w:rPr>
  </w:style>
  <w:style w:type="character" w:styleId="Kommentarzeichen">
    <w:name w:val="annotation reference"/>
    <w:uiPriority w:val="99"/>
    <w:semiHidden/>
    <w:unhideWhenUsed/>
    <w:rsid w:val="006F20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20DE"/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6F20DE"/>
    <w:rPr>
      <w:rFonts w:ascii="Arial" w:hAnsi="Arial"/>
      <w:lang w:eastAsia="ko-K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20DE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F20DE"/>
    <w:rPr>
      <w:rFonts w:ascii="Arial" w:hAnsi="Arial"/>
      <w:b/>
      <w:bCs/>
      <w:lang w:eastAsia="ko-K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20D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F20DE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efi.at/de/nefi-konferenz/program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vanessa.zawodnik@unileoben.ac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4614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Titel</vt:lpstr>
      <vt:lpstr>Titel</vt:lpstr>
    </vt:vector>
  </TitlesOfParts>
  <Company>TU-Wien Campuslizenz</Company>
  <LinksUpToDate>false</LinksUpToDate>
  <CharactersWithSpaces>5336</CharactersWithSpaces>
  <SharedDoc>false</SharedDoc>
  <HLinks>
    <vt:vector size="12" baseType="variant">
      <vt:variant>
        <vt:i4>6881322</vt:i4>
      </vt:variant>
      <vt:variant>
        <vt:i4>0</vt:i4>
      </vt:variant>
      <vt:variant>
        <vt:i4>0</vt:i4>
      </vt:variant>
      <vt:variant>
        <vt:i4>5</vt:i4>
      </vt:variant>
      <vt:variant>
        <vt:lpwstr>https://www.nefi.at/de/nefi-konferenz/programm</vt:lpwstr>
      </vt:variant>
      <vt:variant>
        <vt:lpwstr/>
      </vt:variant>
      <vt:variant>
        <vt:i4>786466</vt:i4>
      </vt:variant>
      <vt:variant>
        <vt:i4>0</vt:i4>
      </vt:variant>
      <vt:variant>
        <vt:i4>0</vt:i4>
      </vt:variant>
      <vt:variant>
        <vt:i4>5</vt:i4>
      </vt:variant>
      <vt:variant>
        <vt:lpwstr>mailto:vanessa.zawodnik@unileoben.ac.at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Gerald</dc:creator>
  <cp:keywords/>
  <cp:lastModifiedBy>Vanessa Zawodnik</cp:lastModifiedBy>
  <cp:revision>2</cp:revision>
  <cp:lastPrinted>2022-11-10T10:45:00Z</cp:lastPrinted>
  <dcterms:created xsi:type="dcterms:W3CDTF">2022-11-10T10:47:00Z</dcterms:created>
  <dcterms:modified xsi:type="dcterms:W3CDTF">2022-11-10T10:47:00Z</dcterms:modified>
</cp:coreProperties>
</file>