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1A21" w14:textId="665DA3AF" w:rsidR="005E4D4F" w:rsidRPr="005E4D4F" w:rsidRDefault="00BC26EA" w:rsidP="005E4D4F">
      <w:pPr>
        <w:pStyle w:val="Abstract-Titel"/>
      </w:pPr>
      <w:r w:rsidRPr="00BC26EA">
        <w:t>Emissionswirkungen der 2021 reformierten Kfz-Steuer: Eine empirische Analyse</w:t>
      </w:r>
    </w:p>
    <w:p w14:paraId="47B52241" w14:textId="4BAF9B87" w:rsidR="00BF05FA" w:rsidRDefault="003F6AA1" w:rsidP="00A156E4">
      <w:pPr>
        <w:pStyle w:val="AutorenOrganisation"/>
      </w:pPr>
      <w:r w:rsidRPr="003F6AA1">
        <w:t>Dekarbonisierung: Verkehrssektor</w:t>
      </w:r>
    </w:p>
    <w:p w14:paraId="0AEFEF48" w14:textId="5753D6DA" w:rsidR="005E4D4F" w:rsidRPr="003A6EAB" w:rsidRDefault="00BC26EA" w:rsidP="00A156E4">
      <w:pPr>
        <w:pStyle w:val="AutorenOrganisation"/>
        <w:rPr>
          <w:lang w:val="en-US"/>
        </w:rPr>
      </w:pPr>
      <w:r w:rsidRPr="003A6EAB">
        <w:rPr>
          <w:lang w:val="en-US"/>
        </w:rPr>
        <w:t>Joschka FLINTZ</w:t>
      </w:r>
      <w:r w:rsidR="003A6EAB" w:rsidRPr="003A6EAB">
        <w:rPr>
          <w:vertAlign w:val="superscript"/>
          <w:lang w:val="en-US"/>
        </w:rPr>
        <w:t xml:space="preserve"> </w:t>
      </w:r>
      <w:r w:rsidR="00A156E4" w:rsidRPr="003A6EAB">
        <w:rPr>
          <w:vertAlign w:val="superscript"/>
          <w:lang w:val="en-US"/>
        </w:rPr>
        <w:t>(1)</w:t>
      </w:r>
      <w:r w:rsidR="005E4D4F" w:rsidRPr="003A6EAB">
        <w:rPr>
          <w:lang w:val="en-US"/>
        </w:rPr>
        <w:t>,</w:t>
      </w:r>
      <w:r w:rsidRPr="003A6EAB">
        <w:rPr>
          <w:lang w:val="en-US"/>
        </w:rPr>
        <w:t xml:space="preserve"> </w:t>
      </w:r>
      <w:r w:rsidRPr="003A6EAB">
        <w:rPr>
          <w:lang w:val="en-US"/>
        </w:rPr>
        <w:t>Manuel FRONDEL</w:t>
      </w:r>
      <w:r w:rsidR="003A6EAB" w:rsidRPr="00010E92">
        <w:rPr>
          <w:vertAlign w:val="superscript"/>
        </w:rPr>
        <w:footnoteReference w:id="1"/>
      </w:r>
      <w:r w:rsidR="003A6EAB" w:rsidRPr="003A6EAB">
        <w:rPr>
          <w:vertAlign w:val="superscript"/>
          <w:lang w:val="en-US"/>
        </w:rPr>
        <w:t xml:space="preserve"> </w:t>
      </w:r>
      <w:r w:rsidRPr="003A6EAB">
        <w:rPr>
          <w:vertAlign w:val="superscript"/>
          <w:lang w:val="en-US"/>
        </w:rPr>
        <w:t>(2)</w:t>
      </w:r>
      <w:r w:rsidRPr="003A6EAB">
        <w:rPr>
          <w:lang w:val="en-US"/>
        </w:rPr>
        <w:t xml:space="preserve">, Marco </w:t>
      </w:r>
      <w:proofErr w:type="gramStart"/>
      <w:r w:rsidRPr="003A6EAB">
        <w:rPr>
          <w:lang w:val="en-US"/>
        </w:rPr>
        <w:t>HORVATH</w:t>
      </w:r>
      <w:r w:rsidR="00A156E4" w:rsidRPr="003A6EAB">
        <w:rPr>
          <w:vertAlign w:val="superscript"/>
          <w:lang w:val="en-US"/>
        </w:rPr>
        <w:t>(</w:t>
      </w:r>
      <w:proofErr w:type="gramEnd"/>
      <w:r w:rsidRPr="003A6EAB">
        <w:rPr>
          <w:vertAlign w:val="superscript"/>
          <w:lang w:val="en-US"/>
        </w:rPr>
        <w:t>3</w:t>
      </w:r>
      <w:r w:rsidR="00A156E4" w:rsidRPr="003A6EAB">
        <w:rPr>
          <w:vertAlign w:val="superscript"/>
          <w:lang w:val="en-US"/>
        </w:rPr>
        <w:t>)</w:t>
      </w:r>
    </w:p>
    <w:p w14:paraId="31BB6490" w14:textId="1E072534" w:rsidR="005E4D4F" w:rsidRPr="00BC26EA" w:rsidRDefault="00A156E4" w:rsidP="005E4D4F">
      <w:pPr>
        <w:pStyle w:val="AutorenOrganisation"/>
        <w:rPr>
          <w:lang w:val="en-US"/>
        </w:rPr>
      </w:pPr>
      <w:r w:rsidRPr="00BC26EA">
        <w:rPr>
          <w:vertAlign w:val="superscript"/>
          <w:lang w:val="en-US"/>
        </w:rPr>
        <w:t>(</w:t>
      </w:r>
      <w:r w:rsidR="00010E92" w:rsidRPr="00BC26EA">
        <w:rPr>
          <w:vertAlign w:val="superscript"/>
          <w:lang w:val="en-US"/>
        </w:rPr>
        <w:t>1</w:t>
      </w:r>
      <w:r w:rsidRPr="00BC26EA">
        <w:rPr>
          <w:vertAlign w:val="superscript"/>
          <w:lang w:val="en-US"/>
        </w:rPr>
        <w:t>)</w:t>
      </w:r>
      <w:r w:rsidR="00BC26EA" w:rsidRPr="00BC26EA">
        <w:rPr>
          <w:vertAlign w:val="superscript"/>
          <w:lang w:val="en-US"/>
        </w:rPr>
        <w:t xml:space="preserve"> </w:t>
      </w:r>
      <w:r w:rsidR="00BC26EA" w:rsidRPr="00BC26EA">
        <w:rPr>
          <w:lang w:val="en-US"/>
        </w:rPr>
        <w:t>RUB, RWI</w:t>
      </w:r>
      <w:r w:rsidR="00010E92" w:rsidRPr="00BC26EA">
        <w:rPr>
          <w:lang w:val="en-US"/>
        </w:rPr>
        <w:t xml:space="preserve">, </w:t>
      </w:r>
      <w:r w:rsidRPr="00BC26EA">
        <w:rPr>
          <w:vertAlign w:val="superscript"/>
          <w:lang w:val="en-US"/>
        </w:rPr>
        <w:t>(</w:t>
      </w:r>
      <w:r w:rsidR="00010E92" w:rsidRPr="00BC26EA">
        <w:rPr>
          <w:vertAlign w:val="superscript"/>
          <w:lang w:val="en-US"/>
        </w:rPr>
        <w:t>2</w:t>
      </w:r>
      <w:r w:rsidRPr="00BC26EA">
        <w:rPr>
          <w:vertAlign w:val="superscript"/>
          <w:lang w:val="en-US"/>
        </w:rPr>
        <w:t>)</w:t>
      </w:r>
      <w:r w:rsidR="00BC26EA" w:rsidRPr="00BC26EA">
        <w:rPr>
          <w:lang w:val="en-US"/>
        </w:rPr>
        <w:t xml:space="preserve"> RWI, RUB</w:t>
      </w:r>
      <w:r w:rsidR="00BC26EA" w:rsidRPr="00BC26EA">
        <w:rPr>
          <w:lang w:val="en-US"/>
        </w:rPr>
        <w:t xml:space="preserve">, </w:t>
      </w:r>
      <w:r w:rsidR="00BC26EA" w:rsidRPr="00BC26EA">
        <w:rPr>
          <w:vertAlign w:val="superscript"/>
          <w:lang w:val="en-US"/>
        </w:rPr>
        <w:t>(</w:t>
      </w:r>
      <w:r w:rsidR="00BC26EA" w:rsidRPr="00BC26EA">
        <w:rPr>
          <w:vertAlign w:val="superscript"/>
          <w:lang w:val="en-US"/>
        </w:rPr>
        <w:t>3</w:t>
      </w:r>
      <w:r w:rsidR="00BC26EA" w:rsidRPr="00BC26EA">
        <w:rPr>
          <w:vertAlign w:val="superscript"/>
          <w:lang w:val="en-US"/>
        </w:rPr>
        <w:t>)</w:t>
      </w:r>
      <w:r w:rsidR="00BC26EA" w:rsidRPr="00BC26EA">
        <w:rPr>
          <w:lang w:val="en-US"/>
        </w:rPr>
        <w:t xml:space="preserve"> RWI</w:t>
      </w:r>
      <w:r w:rsidR="00BC26EA" w:rsidRPr="00BC26EA">
        <w:rPr>
          <w:lang w:val="en-US"/>
        </w:rPr>
        <w:t xml:space="preserve"> </w:t>
      </w:r>
    </w:p>
    <w:p w14:paraId="7D0DC61F" w14:textId="77777777" w:rsidR="00A07737" w:rsidRPr="00BC26EA" w:rsidRDefault="00A07737" w:rsidP="00FB69AE">
      <w:pPr>
        <w:rPr>
          <w:lang w:val="en-US"/>
        </w:rPr>
      </w:pPr>
    </w:p>
    <w:p w14:paraId="14767CFD" w14:textId="77777777" w:rsidR="005E4D4F" w:rsidRPr="005E4D4F" w:rsidRDefault="005E4D4F" w:rsidP="005E4D4F">
      <w:pPr>
        <w:pStyle w:val="Ueberschrift"/>
      </w:pPr>
      <w:r w:rsidRPr="005E4D4F">
        <w:t>Motivation und zentrale Fragestellung</w:t>
      </w:r>
    </w:p>
    <w:p w14:paraId="618E0912" w14:textId="4C8284F2" w:rsidR="00BC26EA" w:rsidRDefault="00BC26EA" w:rsidP="00A07737">
      <w:r>
        <w:t xml:space="preserve">Im Jahr 2021 </w:t>
      </w:r>
      <w:r w:rsidRPr="00BC26EA">
        <w:t xml:space="preserve">wurde </w:t>
      </w:r>
      <w:r>
        <w:t xml:space="preserve">in Deutschland </w:t>
      </w:r>
      <w:r w:rsidRPr="00BC26EA">
        <w:t>die emissionsabhängige Komponente der Kfz-Steuer angepasst und progressiv gestaltet, sodass sich die Steuerbelastung für Fahrzeuge mit hoher Emissionsintensität überproportional erhöht hat. Vor diesem Hintergrund analysiert dieser Beitrag die Effektivität der reformierten Kfz-Steuer in Bezug auf</w:t>
      </w:r>
      <w:r>
        <w:t xml:space="preserve"> </w:t>
      </w:r>
      <w:r w:rsidRPr="00BC26EA">
        <w:t xml:space="preserve">ihr Einsparpotential an Kohlendioxid (CO2) mit Hilfe des Nachfragemodells von Berry et al. (1995). Unsere Schätzergebnisse zeigen, dass infolge der Reform jährlich ungefähr 21.000 Autos weniger </w:t>
      </w:r>
      <w:proofErr w:type="gramStart"/>
      <w:r w:rsidRPr="00BC26EA">
        <w:t>verkauft</w:t>
      </w:r>
      <w:proofErr w:type="gramEnd"/>
      <w:r w:rsidRPr="00BC26EA">
        <w:t xml:space="preserve"> werden</w:t>
      </w:r>
      <w:r w:rsidR="00176CF4">
        <w:t xml:space="preserve"> dürften</w:t>
      </w:r>
      <w:r w:rsidRPr="00BC26EA">
        <w:t>, die mittlere CO2-Intensität sich um 0,74 g/km verringert und der jährliche CO2-Ausstoß neu gekaufter Fahrzeuge um rund 60.000 Tonnen sink</w:t>
      </w:r>
      <w:r w:rsidR="00176CF4">
        <w:t>en könnte</w:t>
      </w:r>
      <w:r w:rsidRPr="00BC26EA">
        <w:t xml:space="preserve">. Diese geringen Effekte sind intuitiv verständlich: Eine durchschnittliche Steuererhöhung von rund 11 Euro </w:t>
      </w:r>
      <w:r>
        <w:t xml:space="preserve">pro Jahr </w:t>
      </w:r>
      <w:r w:rsidRPr="00BC26EA">
        <w:t xml:space="preserve">entfaltet nicht die Lenkungswirkung, derer es bedarf, um die Emissionen substanziell zu senken. </w:t>
      </w:r>
    </w:p>
    <w:p w14:paraId="6EAFB9FF" w14:textId="77777777" w:rsidR="00BC26EA" w:rsidRDefault="00BC26EA" w:rsidP="00A07737"/>
    <w:p w14:paraId="00203371" w14:textId="77777777" w:rsidR="005E4D4F" w:rsidRPr="005E4D4F" w:rsidRDefault="005E4D4F" w:rsidP="005E4D4F">
      <w:pPr>
        <w:pStyle w:val="Ueberschrift"/>
      </w:pPr>
      <w:r w:rsidRPr="005E4D4F">
        <w:t>Methodische Vorgangsweise</w:t>
      </w:r>
    </w:p>
    <w:p w14:paraId="3E13D9DB" w14:textId="59DBD045" w:rsidR="00ED0AB8" w:rsidRDefault="00ED0AB8" w:rsidP="00ED0AB8">
      <w:r w:rsidRPr="00ED0AB8">
        <w:t>Für die empirischen Analyse wird das strukturelle</w:t>
      </w:r>
      <w:r w:rsidRPr="00ED0AB8">
        <w:t xml:space="preserve"> </w:t>
      </w:r>
      <w:r w:rsidRPr="00ED0AB8">
        <w:t xml:space="preserve">Nachfragemodell von </w:t>
      </w:r>
      <w:bookmarkStart w:id="0" w:name="_Hlk119734248"/>
      <w:r w:rsidRPr="00ED0AB8">
        <w:t xml:space="preserve">Berry, </w:t>
      </w:r>
      <w:proofErr w:type="spellStart"/>
      <w:r w:rsidRPr="00ED0AB8">
        <w:t>Levinsohn</w:t>
      </w:r>
      <w:proofErr w:type="spellEnd"/>
      <w:r w:rsidRPr="00ED0AB8">
        <w:t xml:space="preserve"> und Pakes (1995)</w:t>
      </w:r>
      <w:bookmarkEnd w:id="0"/>
      <w:r w:rsidRPr="00ED0AB8">
        <w:t xml:space="preserve">, benutzt, das auf Basis von Daten zum monatlichen Pkw-Absatz die Modellierung der diskreten Entscheidungssituation beim Autokauf auf Individualebene gestattet. Dabei muss sich ein Individuum </w:t>
      </w:r>
      <w:r w:rsidR="003F6AA1" w:rsidRPr="003F6AA1">
        <w:rPr>
          <w:i/>
          <w:iCs/>
        </w:rPr>
        <w:t>i</w:t>
      </w:r>
      <w:r w:rsidR="003F6AA1">
        <w:t xml:space="preserve"> </w:t>
      </w:r>
      <w:r w:rsidRPr="00ED0AB8">
        <w:t xml:space="preserve">für eines von </w:t>
      </w:r>
      <w:r>
        <w:t xml:space="preserve">vielen unterschiedlichen </w:t>
      </w:r>
      <w:r w:rsidRPr="00ED0AB8">
        <w:t>Auto</w:t>
      </w:r>
      <w:r>
        <w:t xml:space="preserve">typen </w:t>
      </w:r>
      <w:r w:rsidR="003F6AA1" w:rsidRPr="003F6AA1">
        <w:rPr>
          <w:i/>
          <w:iCs/>
        </w:rPr>
        <w:t>j = 1, …, J</w:t>
      </w:r>
      <w:r w:rsidR="003F6AA1">
        <w:t xml:space="preserve"> </w:t>
      </w:r>
      <w:r w:rsidRPr="00ED0AB8">
        <w:t>entscheiden oder aber es sieht gänzlich von einem Autokauf ab</w:t>
      </w:r>
      <w:r w:rsidR="003F6AA1">
        <w:t xml:space="preserve"> (</w:t>
      </w:r>
      <w:r w:rsidR="003F6AA1" w:rsidRPr="003F6AA1">
        <w:rPr>
          <w:i/>
          <w:iCs/>
        </w:rPr>
        <w:t>j = 0</w:t>
      </w:r>
      <w:r w:rsidR="003F6AA1">
        <w:t>)</w:t>
      </w:r>
      <w:r w:rsidRPr="00ED0AB8">
        <w:t>.</w:t>
      </w:r>
      <w:r>
        <w:t xml:space="preserve"> Im Gegensatz zu </w:t>
      </w:r>
      <w:proofErr w:type="spellStart"/>
      <w:r>
        <w:t>Conditional</w:t>
      </w:r>
      <w:proofErr w:type="spellEnd"/>
      <w:r>
        <w:t xml:space="preserve">- oder </w:t>
      </w:r>
      <w:proofErr w:type="spellStart"/>
      <w:r>
        <w:t>Nested</w:t>
      </w:r>
      <w:proofErr w:type="spellEnd"/>
      <w:r>
        <w:t>-Logit-Modellen erlaubt das BLP-</w:t>
      </w:r>
      <w:r w:rsidRPr="00ED0AB8">
        <w:t xml:space="preserve">Modell Variationen im Nutzen </w:t>
      </w:r>
      <w:r>
        <w:t xml:space="preserve">der Autokäufer bei gleicher Ausprägung einer </w:t>
      </w:r>
      <w:r w:rsidRPr="00ED0AB8">
        <w:t>Fahrzeugeigenschaft</w:t>
      </w:r>
      <w:r w:rsidR="00D450AF">
        <w:t xml:space="preserve">, </w:t>
      </w:r>
      <w:r w:rsidR="003F019F">
        <w:t>mithin eine entsprechende Heterogenität in den Präferenzen</w:t>
      </w:r>
      <w:r w:rsidR="008511B4">
        <w:t xml:space="preserve"> von Autokäufern</w:t>
      </w:r>
      <w:r w:rsidRPr="00ED0AB8">
        <w:t>.</w:t>
      </w:r>
      <w:r w:rsidR="00D450AF">
        <w:t xml:space="preserve"> </w:t>
      </w:r>
      <w:r w:rsidR="003F6AA1" w:rsidRPr="003F6AA1">
        <w:t xml:space="preserve">Die </w:t>
      </w:r>
      <w:r w:rsidR="00176CF4">
        <w:t xml:space="preserve">für die Schätzung </w:t>
      </w:r>
      <w:r w:rsidR="003F6AA1">
        <w:t>zugrunde</w:t>
      </w:r>
      <w:r w:rsidR="008511B4">
        <w:t xml:space="preserve"> gelegte</w:t>
      </w:r>
      <w:r w:rsidR="003F6AA1">
        <w:t xml:space="preserve"> </w:t>
      </w:r>
      <w:r w:rsidR="003F6AA1" w:rsidRPr="003F6AA1">
        <w:t xml:space="preserve">Nutzenfunktion ist </w:t>
      </w:r>
      <w:r w:rsidR="003F6AA1">
        <w:t xml:space="preserve">wie folgt spezifiziert: </w:t>
      </w:r>
    </w:p>
    <w:p w14:paraId="0D55A0F0" w14:textId="77777777" w:rsidR="00ED0AB8" w:rsidRDefault="00ED0AB8" w:rsidP="00ED0AB8"/>
    <w:p w14:paraId="453F63DC" w14:textId="420BB817" w:rsidR="00ED0AB8" w:rsidRDefault="003F019F" w:rsidP="003F6AA1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ijh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jh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β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jh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jährliche Kosten+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ξ</m:t>
            </m:r>
          </m:e>
          <m:sub>
            <m:r>
              <w:rPr>
                <w:rFonts w:ascii="Cambria Math" w:hAnsi="Cambria Math"/>
              </w:rPr>
              <m:t>jh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ijh</m:t>
            </m:r>
          </m:sub>
        </m:sSub>
      </m:oMath>
      <w:r w:rsidRPr="003B451B">
        <w:rPr>
          <w:rFonts w:ascii="Times New Roman" w:hAnsi="Times New Roman"/>
        </w:rPr>
        <w:t xml:space="preserve"> </w:t>
      </w:r>
      <w:r w:rsidR="00D450AF">
        <w:rPr>
          <w:rFonts w:ascii="Times New Roman" w:hAnsi="Times New Roman"/>
        </w:rPr>
        <w:t>,</w:t>
      </w:r>
      <w:r w:rsidR="006E0F51">
        <w:rPr>
          <w:rFonts w:ascii="Times New Roman" w:hAnsi="Times New Roman"/>
        </w:rPr>
        <w:t xml:space="preserve"> </w:t>
      </w:r>
      <w:r w:rsidR="006E0F51">
        <w:rPr>
          <w:rFonts w:ascii="Times New Roman" w:hAnsi="Times New Roman"/>
        </w:rPr>
        <w:tab/>
      </w:r>
      <w:r w:rsidR="006E0F51">
        <w:rPr>
          <w:rFonts w:ascii="Times New Roman" w:hAnsi="Times New Roman"/>
        </w:rPr>
        <w:tab/>
      </w:r>
      <w:r w:rsidR="006E0F51">
        <w:rPr>
          <w:rFonts w:ascii="Times New Roman" w:hAnsi="Times New Roman"/>
        </w:rPr>
        <w:tab/>
        <w:t>(1)</w:t>
      </w:r>
    </w:p>
    <w:p w14:paraId="4FEA2FED" w14:textId="77777777" w:rsidR="00ED0AB8" w:rsidRDefault="00ED0AB8" w:rsidP="00ED0AB8"/>
    <w:p w14:paraId="4D3D06D0" w14:textId="0CF3AF78" w:rsidR="00ED0AB8" w:rsidRDefault="00ED0AB8" w:rsidP="00ED0AB8">
      <w:r>
        <w:t>wobei der Vektor x Fahrzeugeigenschaften umfasst</w:t>
      </w:r>
      <w:r w:rsidR="00D450AF">
        <w:t xml:space="preserve">, </w:t>
      </w:r>
      <w:r>
        <w:t xml:space="preserve">p für den Kaufpreis des Fahrzeuges </w:t>
      </w:r>
      <w:r w:rsidR="00D450AF">
        <w:t xml:space="preserve">steht </w:t>
      </w:r>
      <w:r>
        <w:t xml:space="preserve">und </w:t>
      </w:r>
      <w:r w:rsidRPr="00D450AF">
        <w:rPr>
          <w:i/>
          <w:iCs/>
        </w:rPr>
        <w:t>jährliche Kosten</w:t>
      </w:r>
      <w:r>
        <w:t xml:space="preserve"> für die Summe aus den jährlichen Kraftstoffkosten und Steuerzahlungen. ξ repräsentiert Fahrzeugattribute, die dem potenziellen Autokäufer bewusst, allerdings nicht beobachtbar sind, zum Beispiel die Popularität des Automodells. </w:t>
      </w:r>
      <w:r w:rsidR="00D450AF" w:rsidRPr="00D450AF">
        <w:t xml:space="preserve">Vektor β </w:t>
      </w:r>
      <w:r w:rsidR="008511B4">
        <w:t>beinhaltet</w:t>
      </w:r>
      <w:r w:rsidR="00D450AF" w:rsidRPr="00D450AF">
        <w:t xml:space="preserve"> die zu den beobachtbaren Fahrzeugcharakteristika gehörigen Koeffizienten, α spiegelt den Grenznutzen des Geldes wider.</w:t>
      </w:r>
      <w:r w:rsidR="00D450AF">
        <w:t xml:space="preserve"> </w:t>
      </w:r>
      <w:r>
        <w:t xml:space="preserve">γ ist der für die Analyse relevante Koeffizient und beschreibt den Effekt einer Veränderung der jährlichen Kosten. ε reflektiert zufällige Variation im Verhalten der </w:t>
      </w:r>
      <w:r w:rsidR="00176CF4">
        <w:t>Autokäufer</w:t>
      </w:r>
      <w:r>
        <w:t>.</w:t>
      </w:r>
    </w:p>
    <w:p w14:paraId="14B95358" w14:textId="77777777" w:rsidR="005E4D4F" w:rsidRPr="005E4D4F" w:rsidRDefault="005E4D4F" w:rsidP="005E4D4F">
      <w:pPr>
        <w:pStyle w:val="Ueberschrift"/>
      </w:pPr>
      <w:r w:rsidRPr="005E4D4F">
        <w:t>Ergebnisse und Schlussfolgerungen</w:t>
      </w:r>
    </w:p>
    <w:p w14:paraId="7E08E6D0" w14:textId="0DC061C8" w:rsidR="00803917" w:rsidRDefault="00585466" w:rsidP="00227125">
      <w:r w:rsidRPr="00585466">
        <w:t>Unsere Schätzergebnisse stützen die Kritik an der Reform der Kfz-Steuer</w:t>
      </w:r>
      <w:r>
        <w:t xml:space="preserve"> bezüglich ihrer </w:t>
      </w:r>
      <w:r w:rsidRPr="00585466">
        <w:t>Effektivität: Bei geschätzt ungefähr 21.000 weniger verkauften Autos pro Jahr und einer Reduktion der mittleren CO2-Intensität um 0,74 Gramm pro Kilometer sinkt der jährliche CO2-Ausstoß neu gekaufter Fahrzeuge lediglich um rund 60.000 Tonnen</w:t>
      </w:r>
      <w:r w:rsidR="006E0F51">
        <w:t xml:space="preserve"> (Tabelle, Szenario 1)</w:t>
      </w:r>
      <w:r w:rsidRPr="00585466">
        <w:t xml:space="preserve">. Ein wesentlicher Grund dafür ist, dass eine durchschnittliche Steuererhöhung von rund 11 Euro pro Jahr nicht die Lenkungswirkung entfalten dürfte, derer es bedarf, um Emissionen substanziell zu senken. </w:t>
      </w:r>
      <w:r w:rsidR="006E0F51">
        <w:t xml:space="preserve">Daher wurden zusätzlich die Effekte einer </w:t>
      </w:r>
      <w:r w:rsidR="006E0F51" w:rsidRPr="006E0F51">
        <w:t>fiktiven Kfz-Besteuerung mit stärker progressiven Steuersätzen</w:t>
      </w:r>
      <w:r w:rsidR="006E0F51">
        <w:t xml:space="preserve"> untersucht. </w:t>
      </w:r>
      <w:r w:rsidRPr="00585466">
        <w:t xml:space="preserve">Die Schätzungen zeigen, dass eine progressivere Besteuerung ein effektiveres Instrument sein kann als die 2021 reformierte Kfz-Steuer: Bei einer mittleren Steuererhöhung von rund 90 Euro </w:t>
      </w:r>
      <w:r w:rsidR="006E0F51">
        <w:t xml:space="preserve">pro Jahr </w:t>
      </w:r>
      <w:r w:rsidRPr="00585466">
        <w:t>reduziert sich die durchschnittliche CO2-Emissionsrate neu zugelassener Autos um gut 5 g/km</w:t>
      </w:r>
      <w:r w:rsidR="004254CC">
        <w:t xml:space="preserve"> </w:t>
      </w:r>
      <w:r w:rsidR="004254CC">
        <w:t xml:space="preserve">(Tabelle, Szenario </w:t>
      </w:r>
      <w:r w:rsidR="004254CC">
        <w:t>2</w:t>
      </w:r>
      <w:r w:rsidR="004254CC">
        <w:t>)</w:t>
      </w:r>
      <w:r w:rsidRPr="00585466">
        <w:t>.</w:t>
      </w:r>
      <w:r>
        <w:t xml:space="preserve"> </w:t>
      </w:r>
      <w:r w:rsidRPr="00585466">
        <w:t xml:space="preserve">Verglichen mit den jährlichen Emissionen der Autoflotte in Deutschland von ca. 100 Millionen Tonnen wären aber selbst die Effekte </w:t>
      </w:r>
      <w:r w:rsidR="00F044D6">
        <w:t xml:space="preserve">einer </w:t>
      </w:r>
      <w:r w:rsidRPr="00585466">
        <w:t>Kfz-Besteuerung mit höheren Steuersätzen recht begrenzt.</w:t>
      </w:r>
      <w:r w:rsidR="00F044D6">
        <w:t xml:space="preserve"> </w:t>
      </w:r>
      <w:r w:rsidR="004254CC" w:rsidRPr="004254CC">
        <w:t xml:space="preserve">Unsere empirische Analyse reiht sich ein in eine Vielzahl an Studien, die den Einfluss von Kfz-Steuerreformen </w:t>
      </w:r>
      <w:r w:rsidR="00F044D6">
        <w:t xml:space="preserve">in Deutschland </w:t>
      </w:r>
      <w:r w:rsidR="004254CC" w:rsidRPr="004254CC">
        <w:t xml:space="preserve">auf die CO2-Emissionen des privaten Automobilverkehrs untersuchen, beispielsweise </w:t>
      </w:r>
      <w:r w:rsidR="004254CC" w:rsidRPr="004254CC">
        <w:lastRenderedPageBreak/>
        <w:t>Alberini und Horvath (2021)</w:t>
      </w:r>
      <w:r w:rsidR="004254CC">
        <w:t xml:space="preserve">, </w:t>
      </w:r>
      <w:r w:rsidR="004254CC" w:rsidRPr="004254CC">
        <w:t>Klier und Linn (2015) und Malina (2016)</w:t>
      </w:r>
      <w:r w:rsidR="004254CC">
        <w:t xml:space="preserve">. Diese </w:t>
      </w:r>
      <w:r w:rsidR="003A6EAB">
        <w:t xml:space="preserve">Studien </w:t>
      </w:r>
      <w:r w:rsidR="004254CC">
        <w:t xml:space="preserve">finden ebenfalls nur </w:t>
      </w:r>
      <w:r w:rsidR="004254CC" w:rsidRPr="004254CC">
        <w:t>geringe Emissionseinsparungen</w:t>
      </w:r>
      <w:r w:rsidR="003A6EAB">
        <w:t xml:space="preserve"> der früheren </w:t>
      </w:r>
      <w:r w:rsidR="003A6EAB" w:rsidRPr="004254CC">
        <w:t>Kfz-Steuerreformen</w:t>
      </w:r>
      <w:r w:rsidR="004254CC" w:rsidRPr="004254CC">
        <w:t>.</w:t>
      </w:r>
    </w:p>
    <w:p w14:paraId="1F801781" w14:textId="0B0FF6CF" w:rsidR="006E0F51" w:rsidRDefault="006E0F51" w:rsidP="00227125"/>
    <w:p w14:paraId="6BF604DB" w14:textId="0463671D" w:rsidR="006E0F51" w:rsidRPr="006E0F51" w:rsidRDefault="006E0F51" w:rsidP="006E0F51">
      <w:pPr>
        <w:spacing w:after="100" w:afterAutospacing="1" w:line="360" w:lineRule="auto"/>
        <w:ind w:right="656"/>
        <w:rPr>
          <w:rFonts w:cs="Arial"/>
          <w:sz w:val="18"/>
          <w:szCs w:val="18"/>
        </w:rPr>
      </w:pPr>
      <w:r w:rsidRPr="006E0F51">
        <w:rPr>
          <w:rFonts w:cs="Arial"/>
          <w:sz w:val="18"/>
          <w:szCs w:val="18"/>
        </w:rPr>
        <w:t xml:space="preserve">Tabelle: </w:t>
      </w:r>
      <w:r w:rsidRPr="004254CC">
        <w:rPr>
          <w:rFonts w:cs="Arial"/>
          <w:bCs/>
          <w:sz w:val="18"/>
          <w:szCs w:val="18"/>
        </w:rPr>
        <w:t>Ergebnisse der kontrafaktischen Analyse für das Jahr 2018 basierend auf der Schätzung eines Random-</w:t>
      </w:r>
      <w:proofErr w:type="spellStart"/>
      <w:r w:rsidRPr="004254CC">
        <w:rPr>
          <w:rFonts w:cs="Arial"/>
          <w:bCs/>
          <w:sz w:val="18"/>
          <w:szCs w:val="18"/>
        </w:rPr>
        <w:t>Coefficient</w:t>
      </w:r>
      <w:proofErr w:type="spellEnd"/>
      <w:r w:rsidRPr="004254CC">
        <w:rPr>
          <w:rFonts w:cs="Arial"/>
          <w:bCs/>
          <w:sz w:val="18"/>
          <w:szCs w:val="18"/>
        </w:rPr>
        <w:t>-Logit-Models nach Gleichung (1)</w:t>
      </w:r>
      <w:r w:rsidR="008511B4">
        <w:rPr>
          <w:rFonts w:cs="Arial"/>
          <w:bCs/>
          <w:sz w:val="18"/>
          <w:szCs w:val="18"/>
        </w:rPr>
        <w:t xml:space="preserve">, siehe </w:t>
      </w:r>
      <w:r w:rsidR="008511B4" w:rsidRPr="008511B4">
        <w:rPr>
          <w:rFonts w:cs="Arial"/>
          <w:bCs/>
          <w:sz w:val="18"/>
          <w:szCs w:val="18"/>
        </w:rPr>
        <w:t xml:space="preserve">Berry, </w:t>
      </w:r>
      <w:proofErr w:type="spellStart"/>
      <w:r w:rsidR="008511B4" w:rsidRPr="008511B4">
        <w:rPr>
          <w:rFonts w:cs="Arial"/>
          <w:bCs/>
          <w:sz w:val="18"/>
          <w:szCs w:val="18"/>
        </w:rPr>
        <w:t>Levinsohn</w:t>
      </w:r>
      <w:proofErr w:type="spellEnd"/>
      <w:r w:rsidR="008511B4" w:rsidRPr="008511B4">
        <w:rPr>
          <w:rFonts w:cs="Arial"/>
          <w:bCs/>
          <w:sz w:val="18"/>
          <w:szCs w:val="18"/>
        </w:rPr>
        <w:t xml:space="preserve"> und Pakes (1995)</w:t>
      </w:r>
      <w:r w:rsidR="004254CC">
        <w:rPr>
          <w:rFonts w:cs="Arial"/>
          <w:bCs/>
          <w:sz w:val="18"/>
          <w:szCs w:val="18"/>
        </w:rPr>
        <w:t>.</w:t>
      </w:r>
    </w:p>
    <w:tbl>
      <w:tblPr>
        <w:tblStyle w:val="Tabellenraster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</w:tblGrid>
      <w:tr w:rsidR="006E0F51" w:rsidRPr="006E0F51" w14:paraId="5FF5C94E" w14:textId="77777777" w:rsidTr="00753B2E">
        <w:trPr>
          <w:trHeight w:val="454"/>
          <w:jc w:val="center"/>
        </w:trPr>
        <w:tc>
          <w:tcPr>
            <w:tcW w:w="340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8253580" w14:textId="77777777" w:rsidR="006E0F51" w:rsidRPr="006E0F51" w:rsidRDefault="006E0F51" w:rsidP="00753B2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68257BA" w14:textId="77777777" w:rsidR="006E0F51" w:rsidRPr="006E0F51" w:rsidRDefault="006E0F51" w:rsidP="00753B2E">
            <w:pPr>
              <w:jc w:val="center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Jahr 2018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16C4772" w14:textId="77777777" w:rsidR="006E0F51" w:rsidRPr="006E0F51" w:rsidRDefault="006E0F51" w:rsidP="00753B2E">
            <w:pPr>
              <w:jc w:val="center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Szenario 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1FDC830" w14:textId="77777777" w:rsidR="006E0F51" w:rsidRPr="006E0F51" w:rsidRDefault="006E0F51" w:rsidP="00753B2E">
            <w:pPr>
              <w:jc w:val="center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Szenario 2</w:t>
            </w:r>
          </w:p>
        </w:tc>
      </w:tr>
      <w:tr w:rsidR="006E0F51" w:rsidRPr="006E0F51" w14:paraId="1874521F" w14:textId="77777777" w:rsidTr="00753B2E">
        <w:trPr>
          <w:trHeight w:val="284"/>
          <w:jc w:val="center"/>
        </w:trPr>
        <w:tc>
          <w:tcPr>
            <w:tcW w:w="3402" w:type="dxa"/>
            <w:tcBorders>
              <w:top w:val="single" w:sz="6" w:space="0" w:color="auto"/>
            </w:tcBorders>
          </w:tcPr>
          <w:p w14:paraId="73389671" w14:textId="77777777" w:rsidR="006E0F51" w:rsidRPr="006E0F51" w:rsidRDefault="006E0F51" w:rsidP="00753B2E">
            <w:pPr>
              <w:jc w:val="left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Anzahl verkaufter Autos (Mio.)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5CF05679" w14:textId="77777777" w:rsidR="006E0F51" w:rsidRPr="006E0F51" w:rsidRDefault="006E0F51" w:rsidP="00753B2E">
            <w:pPr>
              <w:jc w:val="center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3,026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0B324FAE" w14:textId="77777777" w:rsidR="006E0F51" w:rsidRPr="006E0F51" w:rsidRDefault="006E0F51" w:rsidP="00753B2E">
            <w:pPr>
              <w:jc w:val="center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3,006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24277305" w14:textId="77777777" w:rsidR="006E0F51" w:rsidRPr="006E0F51" w:rsidRDefault="006E0F51" w:rsidP="00753B2E">
            <w:pPr>
              <w:jc w:val="center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2,832</w:t>
            </w:r>
          </w:p>
        </w:tc>
      </w:tr>
      <w:tr w:rsidR="006E0F51" w:rsidRPr="006E0F51" w14:paraId="74C61CAF" w14:textId="77777777" w:rsidTr="00753B2E">
        <w:trPr>
          <w:trHeight w:val="284"/>
          <w:jc w:val="center"/>
        </w:trPr>
        <w:tc>
          <w:tcPr>
            <w:tcW w:w="3402" w:type="dxa"/>
          </w:tcPr>
          <w:p w14:paraId="417F37CB" w14:textId="77777777" w:rsidR="006E0F51" w:rsidRPr="006E0F51" w:rsidRDefault="006E0F51" w:rsidP="00753B2E">
            <w:pPr>
              <w:jc w:val="left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mittlere CO2-Intensität (g/km)</w:t>
            </w:r>
          </w:p>
        </w:tc>
        <w:tc>
          <w:tcPr>
            <w:tcW w:w="1701" w:type="dxa"/>
          </w:tcPr>
          <w:p w14:paraId="488C39FE" w14:textId="77777777" w:rsidR="006E0F51" w:rsidRPr="006E0F51" w:rsidRDefault="006E0F51" w:rsidP="00753B2E">
            <w:pPr>
              <w:jc w:val="center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126,64</w:t>
            </w:r>
          </w:p>
        </w:tc>
        <w:tc>
          <w:tcPr>
            <w:tcW w:w="1701" w:type="dxa"/>
          </w:tcPr>
          <w:p w14:paraId="4699978B" w14:textId="77777777" w:rsidR="006E0F51" w:rsidRPr="006E0F51" w:rsidRDefault="006E0F51" w:rsidP="00753B2E">
            <w:pPr>
              <w:jc w:val="center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125,90</w:t>
            </w:r>
          </w:p>
        </w:tc>
        <w:tc>
          <w:tcPr>
            <w:tcW w:w="1701" w:type="dxa"/>
          </w:tcPr>
          <w:p w14:paraId="0D579A46" w14:textId="77777777" w:rsidR="006E0F51" w:rsidRPr="006E0F51" w:rsidRDefault="006E0F51" w:rsidP="00753B2E">
            <w:pPr>
              <w:jc w:val="center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121,50</w:t>
            </w:r>
          </w:p>
        </w:tc>
      </w:tr>
      <w:tr w:rsidR="006E0F51" w:rsidRPr="006E0F51" w14:paraId="1487AECC" w14:textId="77777777" w:rsidTr="00753B2E">
        <w:trPr>
          <w:trHeight w:val="284"/>
          <w:jc w:val="center"/>
        </w:trPr>
        <w:tc>
          <w:tcPr>
            <w:tcW w:w="3402" w:type="dxa"/>
          </w:tcPr>
          <w:p w14:paraId="6F475AAF" w14:textId="77777777" w:rsidR="006E0F51" w:rsidRPr="006E0F51" w:rsidRDefault="006E0F51" w:rsidP="00753B2E">
            <w:pPr>
              <w:jc w:val="left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Anteil Elektroautos (%)</w:t>
            </w:r>
          </w:p>
        </w:tc>
        <w:tc>
          <w:tcPr>
            <w:tcW w:w="1701" w:type="dxa"/>
          </w:tcPr>
          <w:p w14:paraId="1F6EE82F" w14:textId="77777777" w:rsidR="006E0F51" w:rsidRPr="006E0F51" w:rsidRDefault="006E0F51" w:rsidP="00753B2E">
            <w:pPr>
              <w:jc w:val="center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1,07</w:t>
            </w:r>
          </w:p>
        </w:tc>
        <w:tc>
          <w:tcPr>
            <w:tcW w:w="1701" w:type="dxa"/>
          </w:tcPr>
          <w:p w14:paraId="7CCE093E" w14:textId="77777777" w:rsidR="006E0F51" w:rsidRPr="006E0F51" w:rsidRDefault="006E0F51" w:rsidP="00753B2E">
            <w:pPr>
              <w:jc w:val="center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1,09</w:t>
            </w:r>
          </w:p>
        </w:tc>
        <w:tc>
          <w:tcPr>
            <w:tcW w:w="1701" w:type="dxa"/>
          </w:tcPr>
          <w:p w14:paraId="07459C3E" w14:textId="77777777" w:rsidR="006E0F51" w:rsidRPr="006E0F51" w:rsidRDefault="006E0F51" w:rsidP="00753B2E">
            <w:pPr>
              <w:jc w:val="center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1,29</w:t>
            </w:r>
          </w:p>
        </w:tc>
      </w:tr>
      <w:tr w:rsidR="006E0F51" w:rsidRPr="006E0F51" w14:paraId="255D1105" w14:textId="77777777" w:rsidTr="00753B2E">
        <w:trPr>
          <w:trHeight w:val="284"/>
          <w:jc w:val="center"/>
        </w:trPr>
        <w:tc>
          <w:tcPr>
            <w:tcW w:w="3402" w:type="dxa"/>
          </w:tcPr>
          <w:p w14:paraId="34498B65" w14:textId="77777777" w:rsidR="006E0F51" w:rsidRPr="006E0F51" w:rsidRDefault="006E0F51" w:rsidP="00753B2E">
            <w:pPr>
              <w:jc w:val="left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Anteil Hybrid (%)</w:t>
            </w:r>
          </w:p>
        </w:tc>
        <w:tc>
          <w:tcPr>
            <w:tcW w:w="1701" w:type="dxa"/>
          </w:tcPr>
          <w:p w14:paraId="04757FE1" w14:textId="77777777" w:rsidR="006E0F51" w:rsidRPr="006E0F51" w:rsidRDefault="006E0F51" w:rsidP="00753B2E">
            <w:pPr>
              <w:jc w:val="center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1,41</w:t>
            </w:r>
          </w:p>
        </w:tc>
        <w:tc>
          <w:tcPr>
            <w:tcW w:w="1701" w:type="dxa"/>
          </w:tcPr>
          <w:p w14:paraId="2AB79A94" w14:textId="77777777" w:rsidR="006E0F51" w:rsidRPr="006E0F51" w:rsidRDefault="006E0F51" w:rsidP="00753B2E">
            <w:pPr>
              <w:jc w:val="center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1,43</w:t>
            </w:r>
          </w:p>
        </w:tc>
        <w:tc>
          <w:tcPr>
            <w:tcW w:w="1701" w:type="dxa"/>
          </w:tcPr>
          <w:p w14:paraId="60B1F050" w14:textId="77777777" w:rsidR="006E0F51" w:rsidRPr="006E0F51" w:rsidRDefault="006E0F51" w:rsidP="00753B2E">
            <w:pPr>
              <w:jc w:val="center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1,84</w:t>
            </w:r>
          </w:p>
        </w:tc>
      </w:tr>
      <w:tr w:rsidR="006E0F51" w:rsidRPr="006E0F51" w14:paraId="4B7C453B" w14:textId="77777777" w:rsidTr="00753B2E">
        <w:trPr>
          <w:trHeight w:val="284"/>
          <w:jc w:val="center"/>
        </w:trPr>
        <w:tc>
          <w:tcPr>
            <w:tcW w:w="3402" w:type="dxa"/>
          </w:tcPr>
          <w:p w14:paraId="7E62AC21" w14:textId="77777777" w:rsidR="006E0F51" w:rsidRPr="006E0F51" w:rsidRDefault="006E0F51" w:rsidP="00753B2E">
            <w:pPr>
              <w:jc w:val="left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Anteil Diesel (%)</w:t>
            </w:r>
          </w:p>
        </w:tc>
        <w:tc>
          <w:tcPr>
            <w:tcW w:w="1701" w:type="dxa"/>
          </w:tcPr>
          <w:p w14:paraId="2A725A7C" w14:textId="77777777" w:rsidR="006E0F51" w:rsidRPr="006E0F51" w:rsidRDefault="006E0F51" w:rsidP="00753B2E">
            <w:pPr>
              <w:jc w:val="center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30,78</w:t>
            </w:r>
          </w:p>
        </w:tc>
        <w:tc>
          <w:tcPr>
            <w:tcW w:w="1701" w:type="dxa"/>
          </w:tcPr>
          <w:p w14:paraId="0006217D" w14:textId="77777777" w:rsidR="006E0F51" w:rsidRPr="006E0F51" w:rsidRDefault="006E0F51" w:rsidP="00753B2E">
            <w:pPr>
              <w:jc w:val="center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30,90</w:t>
            </w:r>
          </w:p>
        </w:tc>
        <w:tc>
          <w:tcPr>
            <w:tcW w:w="1701" w:type="dxa"/>
          </w:tcPr>
          <w:p w14:paraId="063F751B" w14:textId="77777777" w:rsidR="006E0F51" w:rsidRPr="006E0F51" w:rsidRDefault="006E0F51" w:rsidP="00753B2E">
            <w:pPr>
              <w:jc w:val="center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32,77</w:t>
            </w:r>
          </w:p>
        </w:tc>
      </w:tr>
      <w:tr w:rsidR="006E0F51" w:rsidRPr="006E0F51" w14:paraId="3AC2935C" w14:textId="77777777" w:rsidTr="00753B2E">
        <w:trPr>
          <w:trHeight w:val="284"/>
          <w:jc w:val="center"/>
        </w:trPr>
        <w:tc>
          <w:tcPr>
            <w:tcW w:w="3402" w:type="dxa"/>
          </w:tcPr>
          <w:p w14:paraId="7978C74F" w14:textId="77777777" w:rsidR="006E0F51" w:rsidRPr="006E0F51" w:rsidRDefault="006E0F51" w:rsidP="00753B2E">
            <w:pPr>
              <w:jc w:val="left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Anteil Benzin (%)</w:t>
            </w:r>
          </w:p>
        </w:tc>
        <w:tc>
          <w:tcPr>
            <w:tcW w:w="1701" w:type="dxa"/>
          </w:tcPr>
          <w:p w14:paraId="29831863" w14:textId="77777777" w:rsidR="006E0F51" w:rsidRPr="006E0F51" w:rsidRDefault="006E0F51" w:rsidP="00753B2E">
            <w:pPr>
              <w:jc w:val="center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66,75</w:t>
            </w:r>
          </w:p>
        </w:tc>
        <w:tc>
          <w:tcPr>
            <w:tcW w:w="1701" w:type="dxa"/>
          </w:tcPr>
          <w:p w14:paraId="254B5D04" w14:textId="77777777" w:rsidR="006E0F51" w:rsidRPr="006E0F51" w:rsidRDefault="006E0F51" w:rsidP="00753B2E">
            <w:pPr>
              <w:jc w:val="center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66,58</w:t>
            </w:r>
          </w:p>
        </w:tc>
        <w:tc>
          <w:tcPr>
            <w:tcW w:w="1701" w:type="dxa"/>
          </w:tcPr>
          <w:p w14:paraId="573C2E21" w14:textId="77777777" w:rsidR="006E0F51" w:rsidRPr="006E0F51" w:rsidRDefault="006E0F51" w:rsidP="00753B2E">
            <w:pPr>
              <w:jc w:val="center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64,10</w:t>
            </w:r>
          </w:p>
        </w:tc>
      </w:tr>
      <w:tr w:rsidR="006E0F51" w:rsidRPr="006E0F51" w14:paraId="5A56FE60" w14:textId="77777777" w:rsidTr="00753B2E">
        <w:trPr>
          <w:trHeight w:val="284"/>
          <w:jc w:val="center"/>
        </w:trPr>
        <w:tc>
          <w:tcPr>
            <w:tcW w:w="3402" w:type="dxa"/>
          </w:tcPr>
          <w:p w14:paraId="559C156D" w14:textId="77777777" w:rsidR="006E0F51" w:rsidRPr="006E0F51" w:rsidRDefault="006E0F51" w:rsidP="00753B2E">
            <w:pPr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E0F51">
              <w:rPr>
                <w:rFonts w:cs="Arial"/>
                <w:sz w:val="18"/>
                <w:szCs w:val="18"/>
              </w:rPr>
              <w:t>jährl</w:t>
            </w:r>
            <w:proofErr w:type="spellEnd"/>
            <w:r w:rsidRPr="006E0F51">
              <w:rPr>
                <w:rFonts w:cs="Arial"/>
                <w:sz w:val="18"/>
                <w:szCs w:val="18"/>
              </w:rPr>
              <w:t>. CO2-Emissionen (Mio. t)</w:t>
            </w:r>
          </w:p>
        </w:tc>
        <w:tc>
          <w:tcPr>
            <w:tcW w:w="1701" w:type="dxa"/>
          </w:tcPr>
          <w:p w14:paraId="5FEECABE" w14:textId="77777777" w:rsidR="006E0F51" w:rsidRPr="006E0F51" w:rsidRDefault="006E0F51" w:rsidP="00753B2E">
            <w:pPr>
              <w:jc w:val="center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5,21</w:t>
            </w:r>
          </w:p>
        </w:tc>
        <w:tc>
          <w:tcPr>
            <w:tcW w:w="1701" w:type="dxa"/>
          </w:tcPr>
          <w:p w14:paraId="66E4B430" w14:textId="77777777" w:rsidR="006E0F51" w:rsidRPr="006E0F51" w:rsidRDefault="006E0F51" w:rsidP="00753B2E">
            <w:pPr>
              <w:jc w:val="center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5,14</w:t>
            </w:r>
          </w:p>
        </w:tc>
        <w:tc>
          <w:tcPr>
            <w:tcW w:w="1701" w:type="dxa"/>
          </w:tcPr>
          <w:p w14:paraId="6EE1751E" w14:textId="77777777" w:rsidR="006E0F51" w:rsidRPr="006E0F51" w:rsidRDefault="006E0F51" w:rsidP="00753B2E">
            <w:pPr>
              <w:jc w:val="center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4,75</w:t>
            </w:r>
          </w:p>
        </w:tc>
      </w:tr>
      <w:tr w:rsidR="006E0F51" w:rsidRPr="006E0F51" w14:paraId="0E76223B" w14:textId="77777777" w:rsidTr="00753B2E">
        <w:trPr>
          <w:trHeight w:val="284"/>
          <w:jc w:val="center"/>
        </w:trPr>
        <w:tc>
          <w:tcPr>
            <w:tcW w:w="3402" w:type="dxa"/>
          </w:tcPr>
          <w:p w14:paraId="56699A17" w14:textId="77777777" w:rsidR="006E0F51" w:rsidRPr="006E0F51" w:rsidRDefault="006E0F51" w:rsidP="00753B2E">
            <w:pPr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E0F51">
              <w:rPr>
                <w:rFonts w:cs="Arial"/>
                <w:sz w:val="18"/>
                <w:szCs w:val="18"/>
              </w:rPr>
              <w:t>jährl</w:t>
            </w:r>
            <w:proofErr w:type="spellEnd"/>
            <w:r w:rsidRPr="006E0F51">
              <w:rPr>
                <w:rFonts w:cs="Arial"/>
                <w:sz w:val="18"/>
                <w:szCs w:val="18"/>
              </w:rPr>
              <w:t>. Steuereinnahmen (Mio. €)</w:t>
            </w:r>
          </w:p>
        </w:tc>
        <w:tc>
          <w:tcPr>
            <w:tcW w:w="1701" w:type="dxa"/>
          </w:tcPr>
          <w:p w14:paraId="2C494FCE" w14:textId="77777777" w:rsidR="006E0F51" w:rsidRPr="006E0F51" w:rsidRDefault="006E0F51" w:rsidP="00753B2E">
            <w:pPr>
              <w:jc w:val="center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433,10</w:t>
            </w:r>
          </w:p>
        </w:tc>
        <w:tc>
          <w:tcPr>
            <w:tcW w:w="1701" w:type="dxa"/>
          </w:tcPr>
          <w:p w14:paraId="13875773" w14:textId="77777777" w:rsidR="006E0F51" w:rsidRPr="006E0F51" w:rsidRDefault="006E0F51" w:rsidP="00753B2E">
            <w:pPr>
              <w:jc w:val="center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463,13</w:t>
            </w:r>
          </w:p>
        </w:tc>
        <w:tc>
          <w:tcPr>
            <w:tcW w:w="1701" w:type="dxa"/>
          </w:tcPr>
          <w:p w14:paraId="4A328070" w14:textId="77777777" w:rsidR="006E0F51" w:rsidRPr="006E0F51" w:rsidRDefault="006E0F51" w:rsidP="00753B2E">
            <w:pPr>
              <w:jc w:val="center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659,86</w:t>
            </w:r>
          </w:p>
        </w:tc>
      </w:tr>
      <w:tr w:rsidR="006E0F51" w:rsidRPr="006E0F51" w14:paraId="1F3E045D" w14:textId="77777777" w:rsidTr="00753B2E">
        <w:trPr>
          <w:trHeight w:val="340"/>
          <w:jc w:val="center"/>
        </w:trPr>
        <w:tc>
          <w:tcPr>
            <w:tcW w:w="3402" w:type="dxa"/>
            <w:tcBorders>
              <w:bottom w:val="single" w:sz="8" w:space="0" w:color="auto"/>
            </w:tcBorders>
          </w:tcPr>
          <w:p w14:paraId="650BE73B" w14:textId="76024BCB" w:rsidR="006E0F51" w:rsidRPr="006E0F51" w:rsidRDefault="006E0F51" w:rsidP="00753B2E">
            <w:pPr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E0F51">
              <w:rPr>
                <w:rFonts w:cs="Arial"/>
                <w:sz w:val="18"/>
                <w:szCs w:val="18"/>
              </w:rPr>
              <w:t>durchschnittl</w:t>
            </w:r>
            <w:proofErr w:type="spellEnd"/>
            <w:r w:rsidRPr="006E0F51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4254CC">
              <w:rPr>
                <w:rFonts w:cs="Arial"/>
                <w:sz w:val="18"/>
                <w:szCs w:val="18"/>
              </w:rPr>
              <w:t>j</w:t>
            </w:r>
            <w:r w:rsidRPr="006E0F51">
              <w:rPr>
                <w:rFonts w:cs="Arial"/>
                <w:sz w:val="18"/>
                <w:szCs w:val="18"/>
              </w:rPr>
              <w:t>ährl</w:t>
            </w:r>
            <w:proofErr w:type="spellEnd"/>
            <w:r w:rsidRPr="006E0F51">
              <w:rPr>
                <w:rFonts w:cs="Arial"/>
                <w:sz w:val="18"/>
                <w:szCs w:val="18"/>
              </w:rPr>
              <w:t>. Steuer (€)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14B2AC4F" w14:textId="77777777" w:rsidR="006E0F51" w:rsidRPr="006E0F51" w:rsidRDefault="006E0F51" w:rsidP="00753B2E">
            <w:pPr>
              <w:jc w:val="center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143,10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25891F6D" w14:textId="77777777" w:rsidR="006E0F51" w:rsidRPr="006E0F51" w:rsidRDefault="006E0F51" w:rsidP="00753B2E">
            <w:pPr>
              <w:jc w:val="center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154,09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18877270" w14:textId="77777777" w:rsidR="006E0F51" w:rsidRPr="006E0F51" w:rsidRDefault="006E0F51" w:rsidP="00753B2E">
            <w:pPr>
              <w:jc w:val="center"/>
              <w:rPr>
                <w:rFonts w:cs="Arial"/>
                <w:sz w:val="18"/>
                <w:szCs w:val="18"/>
              </w:rPr>
            </w:pPr>
            <w:r w:rsidRPr="006E0F51">
              <w:rPr>
                <w:rFonts w:cs="Arial"/>
                <w:sz w:val="18"/>
                <w:szCs w:val="18"/>
              </w:rPr>
              <w:t>233,04</w:t>
            </w:r>
          </w:p>
        </w:tc>
      </w:tr>
    </w:tbl>
    <w:p w14:paraId="293A16D0" w14:textId="77777777" w:rsidR="006E0F51" w:rsidRPr="006E0F51" w:rsidRDefault="006E0F51" w:rsidP="006E0F51">
      <w:pPr>
        <w:spacing w:after="100" w:afterAutospacing="1" w:line="360" w:lineRule="auto"/>
        <w:ind w:left="-5" w:right="656"/>
        <w:rPr>
          <w:rFonts w:cs="Arial"/>
          <w:sz w:val="18"/>
          <w:szCs w:val="18"/>
        </w:rPr>
      </w:pPr>
    </w:p>
    <w:p w14:paraId="0C0574B2" w14:textId="497B6BDC" w:rsidR="005E4D4F" w:rsidRPr="005E4D4F" w:rsidRDefault="005E4D4F" w:rsidP="00A156E4">
      <w:pPr>
        <w:pStyle w:val="Ueberschrift"/>
      </w:pPr>
      <w:bookmarkStart w:id="1" w:name="_Toc26086066"/>
      <w:bookmarkStart w:id="2" w:name="_Toc68418491"/>
      <w:r w:rsidRPr="005E4D4F">
        <w:t>Literatur</w:t>
      </w:r>
      <w:bookmarkEnd w:id="1"/>
      <w:bookmarkEnd w:id="2"/>
    </w:p>
    <w:p w14:paraId="485A86B0" w14:textId="04A4DF65" w:rsidR="005E4D4F" w:rsidRPr="003A6EAB" w:rsidRDefault="00483B87" w:rsidP="00227125">
      <w:pPr>
        <w:pStyle w:val="Literatur"/>
        <w:rPr>
          <w:lang w:val="en-US"/>
        </w:rPr>
      </w:pPr>
      <w:r w:rsidRPr="004254CC">
        <w:rPr>
          <w:lang w:val="en-US"/>
        </w:rPr>
        <w:t>[1]</w:t>
      </w:r>
      <w:r w:rsidRPr="004254CC">
        <w:rPr>
          <w:lang w:val="en-US"/>
        </w:rPr>
        <w:tab/>
      </w:r>
      <w:r w:rsidR="004254CC" w:rsidRPr="004254CC">
        <w:rPr>
          <w:lang w:val="en-US"/>
        </w:rPr>
        <w:t xml:space="preserve">Berry, S., </w:t>
      </w:r>
      <w:proofErr w:type="spellStart"/>
      <w:r w:rsidR="004254CC" w:rsidRPr="004254CC">
        <w:rPr>
          <w:lang w:val="en-US"/>
        </w:rPr>
        <w:t>Levinsohn</w:t>
      </w:r>
      <w:proofErr w:type="spellEnd"/>
      <w:r w:rsidR="004254CC" w:rsidRPr="004254CC">
        <w:rPr>
          <w:lang w:val="en-US"/>
        </w:rPr>
        <w:t xml:space="preserve">, J., </w:t>
      </w:r>
      <w:proofErr w:type="spellStart"/>
      <w:r w:rsidR="004254CC" w:rsidRPr="004254CC">
        <w:rPr>
          <w:lang w:val="en-US"/>
        </w:rPr>
        <w:t>Pakes</w:t>
      </w:r>
      <w:proofErr w:type="spellEnd"/>
      <w:r w:rsidR="004254CC" w:rsidRPr="004254CC">
        <w:rPr>
          <w:lang w:val="en-US"/>
        </w:rPr>
        <w:t xml:space="preserve">, A. (1995). Automobile prices in market equilibrium. </w:t>
      </w:r>
      <w:proofErr w:type="spellStart"/>
      <w:r w:rsidR="004254CC" w:rsidRPr="004254CC">
        <w:rPr>
          <w:lang w:val="en-US"/>
        </w:rPr>
        <w:t>Econometrica</w:t>
      </w:r>
      <w:proofErr w:type="spellEnd"/>
      <w:r w:rsidR="004254CC" w:rsidRPr="004254CC">
        <w:rPr>
          <w:lang w:val="en-US"/>
        </w:rPr>
        <w:t xml:space="preserve"> 63, 841–889.</w:t>
      </w:r>
    </w:p>
    <w:p w14:paraId="53EDE65A" w14:textId="79C17A65" w:rsidR="00010E92" w:rsidRDefault="00483B87" w:rsidP="00227125">
      <w:pPr>
        <w:pStyle w:val="Literatur"/>
        <w:rPr>
          <w:lang w:val="en-US"/>
        </w:rPr>
      </w:pPr>
      <w:r w:rsidRPr="00BE26BA">
        <w:rPr>
          <w:lang w:val="en-US"/>
        </w:rPr>
        <w:t>[2]</w:t>
      </w:r>
      <w:r w:rsidRPr="00BE26BA">
        <w:rPr>
          <w:lang w:val="en-US"/>
        </w:rPr>
        <w:tab/>
      </w:r>
      <w:r w:rsidR="00BE26BA" w:rsidRPr="00BE26BA">
        <w:rPr>
          <w:lang w:val="en-US"/>
        </w:rPr>
        <w:t xml:space="preserve">Alberini, A., Horvath, M. (2021). All car taxes are not created equal: Evidence from Germany. </w:t>
      </w:r>
      <w:r w:rsidR="00BE26BA" w:rsidRPr="00BE26BA">
        <w:t>Energy Economics, 105329.</w:t>
      </w:r>
    </w:p>
    <w:p w14:paraId="68F3F5F3" w14:textId="570BFB0C" w:rsidR="00BE26BA" w:rsidRDefault="00BE26BA" w:rsidP="00BE26BA">
      <w:pPr>
        <w:pStyle w:val="Literatur"/>
        <w:rPr>
          <w:lang w:val="en-US"/>
        </w:rPr>
      </w:pPr>
      <w:r w:rsidRPr="00BE26BA">
        <w:rPr>
          <w:lang w:val="en-US"/>
        </w:rPr>
        <w:t>[</w:t>
      </w:r>
      <w:r>
        <w:rPr>
          <w:lang w:val="en-US"/>
        </w:rPr>
        <w:t>3</w:t>
      </w:r>
      <w:r w:rsidRPr="00BE26BA">
        <w:rPr>
          <w:lang w:val="en-US"/>
        </w:rPr>
        <w:t>]</w:t>
      </w:r>
      <w:r w:rsidRPr="00BE26BA">
        <w:rPr>
          <w:lang w:val="en-US"/>
        </w:rPr>
        <w:tab/>
        <w:t>Klier, T., Linn, J. (2015). Using taxes to reduce carbon dioxide emissions rates of new passenger vehicles: evidence from France, Germany, and Sweden. American Economic Journal: Economic Policy 7, 212–42.</w:t>
      </w:r>
    </w:p>
    <w:p w14:paraId="178FDF4F" w14:textId="77777777" w:rsidR="008511B4" w:rsidRDefault="00BE26BA" w:rsidP="00BE26BA">
      <w:pPr>
        <w:pStyle w:val="Literatur"/>
      </w:pPr>
      <w:r w:rsidRPr="00BE26BA">
        <w:rPr>
          <w:lang w:val="en-US"/>
        </w:rPr>
        <w:t>[</w:t>
      </w:r>
      <w:r>
        <w:rPr>
          <w:lang w:val="en-US"/>
        </w:rPr>
        <w:t>4</w:t>
      </w:r>
      <w:r w:rsidRPr="00BE26BA">
        <w:rPr>
          <w:lang w:val="en-US"/>
        </w:rPr>
        <w:t>]</w:t>
      </w:r>
      <w:r w:rsidRPr="00BE26BA">
        <w:rPr>
          <w:lang w:val="en-US"/>
        </w:rPr>
        <w:tab/>
      </w:r>
      <w:r w:rsidR="008511B4" w:rsidRPr="008511B4">
        <w:rPr>
          <w:lang w:val="en-US"/>
        </w:rPr>
        <w:t xml:space="preserve">Malina, C. (2016). The environmental impact of vehicle circulation tax reform in Germany. </w:t>
      </w:r>
      <w:r w:rsidR="008511B4" w:rsidRPr="008511B4">
        <w:t xml:space="preserve">CAWM </w:t>
      </w:r>
      <w:proofErr w:type="spellStart"/>
      <w:r w:rsidR="008511B4" w:rsidRPr="008511B4">
        <w:t>Discussion</w:t>
      </w:r>
      <w:proofErr w:type="spellEnd"/>
      <w:r w:rsidR="008511B4" w:rsidRPr="008511B4">
        <w:t xml:space="preserve"> Paper Nr. 86, Centrum für Angewandte Wirtschaftsforschung Münster. </w:t>
      </w:r>
      <w:hyperlink r:id="rId7" w:history="1">
        <w:r w:rsidR="008511B4" w:rsidRPr="00F74662">
          <w:rPr>
            <w:rStyle w:val="Hyperlink"/>
          </w:rPr>
          <w:t>www.wiwi.uni-muenster.de/mep/sites/mep/files/downloads/Diskussionspapiere/cawm_dp86.pdf</w:t>
        </w:r>
      </w:hyperlink>
      <w:r w:rsidR="008511B4">
        <w:t xml:space="preserve"> </w:t>
      </w:r>
    </w:p>
    <w:sectPr w:rsidR="008511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801C" w14:textId="77777777" w:rsidR="00D52AE0" w:rsidRDefault="00D52AE0">
      <w:r>
        <w:separator/>
      </w:r>
    </w:p>
  </w:endnote>
  <w:endnote w:type="continuationSeparator" w:id="0">
    <w:p w14:paraId="4E26F006" w14:textId="77777777" w:rsidR="00D52AE0" w:rsidRDefault="00D5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0FC3" w14:textId="77777777" w:rsidR="00D52AE0" w:rsidRDefault="00D52AE0">
      <w:r>
        <w:separator/>
      </w:r>
    </w:p>
  </w:footnote>
  <w:footnote w:type="continuationSeparator" w:id="0">
    <w:p w14:paraId="23DBB973" w14:textId="77777777" w:rsidR="00D52AE0" w:rsidRDefault="00D52AE0">
      <w:r>
        <w:continuationSeparator/>
      </w:r>
    </w:p>
  </w:footnote>
  <w:footnote w:id="1">
    <w:p w14:paraId="65C87C42" w14:textId="17D1C6EE" w:rsidR="003A6EAB" w:rsidRPr="00FB69AE" w:rsidRDefault="003A6EAB" w:rsidP="003A6EAB">
      <w:r w:rsidRPr="00A115D2">
        <w:rPr>
          <w:rStyle w:val="Funotenzeichen"/>
        </w:rPr>
        <w:footnoteRef/>
      </w:r>
      <w:r w:rsidRPr="00D53E86">
        <w:t xml:space="preserve"> </w:t>
      </w:r>
      <w:r>
        <w:t xml:space="preserve">RWI </w:t>
      </w:r>
      <w:r>
        <w:rPr>
          <w:rFonts w:cs="Arial"/>
        </w:rPr>
        <w:t xml:space="preserve">— </w:t>
      </w:r>
      <w:r>
        <w:t xml:space="preserve">Leibniz-Institut für Wirtschaftsforschung, Hohenzollernstr. 1-3, </w:t>
      </w:r>
      <w:r w:rsidR="008511B4">
        <w:t>D-</w:t>
      </w:r>
      <w:r>
        <w:t>45128 Essen</w:t>
      </w:r>
      <w:r>
        <w:t xml:space="preserve">, </w:t>
      </w:r>
      <w:r>
        <w:t>0201/8149204</w:t>
      </w:r>
      <w:r>
        <w:t xml:space="preserve">, </w:t>
      </w:r>
      <w:hyperlink r:id="rId1" w:history="1">
        <w:r w:rsidRPr="00F74662">
          <w:rPr>
            <w:rStyle w:val="Hyperlink"/>
          </w:rPr>
          <w:t>frondel@rwi-essen.de</w:t>
        </w:r>
      </w:hyperlink>
      <w:r>
        <w:t>, www.rwi-essen.de/frondel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75967"/>
    <w:multiLevelType w:val="multilevel"/>
    <w:tmpl w:val="0978BA90"/>
    <w:numStyleLink w:val="Aufzhlung"/>
  </w:abstractNum>
  <w:abstractNum w:abstractNumId="3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3978605">
    <w:abstractNumId w:val="1"/>
  </w:num>
  <w:num w:numId="2" w16cid:durableId="708529995">
    <w:abstractNumId w:val="3"/>
  </w:num>
  <w:num w:numId="3" w16cid:durableId="1030687698">
    <w:abstractNumId w:val="2"/>
  </w:num>
  <w:num w:numId="4" w16cid:durableId="96936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4F"/>
    <w:rsid w:val="00010E92"/>
    <w:rsid w:val="00176CF4"/>
    <w:rsid w:val="002014D3"/>
    <w:rsid w:val="00227125"/>
    <w:rsid w:val="00262FD5"/>
    <w:rsid w:val="002946B8"/>
    <w:rsid w:val="00335E63"/>
    <w:rsid w:val="00350F98"/>
    <w:rsid w:val="00372D53"/>
    <w:rsid w:val="003A6EAB"/>
    <w:rsid w:val="003B676F"/>
    <w:rsid w:val="003C28FE"/>
    <w:rsid w:val="003E20AA"/>
    <w:rsid w:val="003F019F"/>
    <w:rsid w:val="003F6AA1"/>
    <w:rsid w:val="004254CC"/>
    <w:rsid w:val="00483B87"/>
    <w:rsid w:val="00564569"/>
    <w:rsid w:val="00585466"/>
    <w:rsid w:val="005B1ADB"/>
    <w:rsid w:val="005E4D4F"/>
    <w:rsid w:val="006E0F51"/>
    <w:rsid w:val="007378C8"/>
    <w:rsid w:val="00741EC0"/>
    <w:rsid w:val="00803917"/>
    <w:rsid w:val="008511B4"/>
    <w:rsid w:val="009410D4"/>
    <w:rsid w:val="00A07737"/>
    <w:rsid w:val="00A156E4"/>
    <w:rsid w:val="00A6148D"/>
    <w:rsid w:val="00BC26EA"/>
    <w:rsid w:val="00BE26BA"/>
    <w:rsid w:val="00BF05FA"/>
    <w:rsid w:val="00CE1A70"/>
    <w:rsid w:val="00D450AF"/>
    <w:rsid w:val="00D52AE0"/>
    <w:rsid w:val="00D53E86"/>
    <w:rsid w:val="00D736F8"/>
    <w:rsid w:val="00E520E6"/>
    <w:rsid w:val="00EB0F4F"/>
    <w:rsid w:val="00ED0AB8"/>
    <w:rsid w:val="00F044D6"/>
    <w:rsid w:val="00FB69AE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3DE8E"/>
  <w15:chartTrackingRefBased/>
  <w15:docId w15:val="{5AB661ED-F8E9-B842-BFAC-3D71C3AF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val="de-DE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uiPriority w:val="9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E0F51"/>
    <w:pPr>
      <w:ind w:left="10" w:hanging="10"/>
    </w:pPr>
    <w:rPr>
      <w:rFonts w:ascii="Calibri" w:eastAsia="Calibri" w:hAnsi="Calibri" w:cs="Calibri"/>
      <w:color w:val="00000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0F51"/>
    <w:rPr>
      <w:rFonts w:ascii="Calibri" w:eastAsia="Calibri" w:hAnsi="Calibri" w:cs="Calibri"/>
      <w:color w:val="000000"/>
      <w:lang w:val="de-DE" w:eastAsia="de-DE"/>
    </w:rPr>
  </w:style>
  <w:style w:type="table" w:customStyle="1" w:styleId="Tabellenraster7">
    <w:name w:val="Tabellenraster7"/>
    <w:basedOn w:val="NormaleTabelle"/>
    <w:next w:val="Tabellenraster"/>
    <w:uiPriority w:val="39"/>
    <w:rsid w:val="006E0F51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6E0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A6EA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6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wi.uni-muenster.de/mep/sites/mep/files/downloads/Diskussionspapiere/cawm_dp8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rondel@rwi-ess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TU-Wien Campuslizenz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Frondel, Manuel</cp:lastModifiedBy>
  <cp:revision>7</cp:revision>
  <cp:lastPrinted>2022-11-19T14:11:00Z</cp:lastPrinted>
  <dcterms:created xsi:type="dcterms:W3CDTF">2022-11-18T09:33:00Z</dcterms:created>
  <dcterms:modified xsi:type="dcterms:W3CDTF">2022-11-19T14:25:00Z</dcterms:modified>
</cp:coreProperties>
</file>