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1A21" w14:textId="3B559F7B" w:rsidR="005E4D4F" w:rsidRPr="003626F6" w:rsidRDefault="003626F6" w:rsidP="005E4D4F">
      <w:pPr>
        <w:pStyle w:val="Abstract-Titel"/>
        <w:rPr>
          <w:lang w:val="en-US"/>
        </w:rPr>
      </w:pPr>
      <w:r w:rsidRPr="003626F6">
        <w:rPr>
          <w:lang w:val="en-US"/>
        </w:rPr>
        <w:t xml:space="preserve">A good duet for the climate: </w:t>
      </w:r>
      <w:r w:rsidR="0014004A">
        <w:rPr>
          <w:lang w:val="en-US"/>
        </w:rPr>
        <w:br/>
      </w:r>
      <w:r w:rsidRPr="003626F6">
        <w:rPr>
          <w:lang w:val="en-US"/>
        </w:rPr>
        <w:t>Why high shares in RES and H</w:t>
      </w:r>
      <w:r w:rsidRPr="0014004A">
        <w:rPr>
          <w:rFonts w:cs="Times New Roman"/>
          <w:b w:val="0"/>
          <w:snapToGrid/>
          <w:kern w:val="0"/>
          <w:sz w:val="20"/>
          <w:szCs w:val="24"/>
          <w:vertAlign w:val="subscript"/>
          <w:lang w:val="en-US"/>
          <w14:props3d w14:extrusionH="0" w14:contourW="0" w14:prstMaterial="matte"/>
        </w:rPr>
        <w:t>2</w:t>
      </w:r>
      <w:r w:rsidRPr="003626F6">
        <w:rPr>
          <w:lang w:val="en-US"/>
        </w:rPr>
        <w:t xml:space="preserve"> </w:t>
      </w:r>
      <w:proofErr w:type="gramStart"/>
      <w:r w:rsidRPr="003626F6">
        <w:rPr>
          <w:lang w:val="en-US"/>
        </w:rPr>
        <w:t>need</w:t>
      </w:r>
      <w:proofErr w:type="gramEnd"/>
      <w:r w:rsidRPr="003626F6">
        <w:rPr>
          <w:lang w:val="en-US"/>
        </w:rPr>
        <w:t xml:space="preserve"> each other</w:t>
      </w:r>
    </w:p>
    <w:p w14:paraId="47B52241" w14:textId="1AF010D4" w:rsidR="00BF05FA" w:rsidRPr="005F31BD" w:rsidRDefault="005F31BD" w:rsidP="00A156E4">
      <w:pPr>
        <w:pStyle w:val="AutorenOrganisation"/>
        <w:rPr>
          <w:lang w:val="en-US"/>
        </w:rPr>
      </w:pPr>
      <w:r w:rsidRPr="005F31BD">
        <w:rPr>
          <w:lang w:val="en-US"/>
        </w:rPr>
        <w:t xml:space="preserve">Sector coupling &amp; </w:t>
      </w:r>
      <w:r>
        <w:rPr>
          <w:lang w:val="en-US"/>
        </w:rPr>
        <w:t xml:space="preserve">hydrogen in </w:t>
      </w:r>
      <w:r w:rsidRPr="005F31BD">
        <w:rPr>
          <w:lang w:val="en-US"/>
        </w:rPr>
        <w:t>electricity</w:t>
      </w:r>
      <w:r>
        <w:rPr>
          <w:lang w:val="en-US"/>
        </w:rPr>
        <w:t xml:space="preserve"> markets</w:t>
      </w:r>
    </w:p>
    <w:p w14:paraId="0AEFEF48" w14:textId="77368973" w:rsidR="005E4D4F" w:rsidRPr="005F31BD" w:rsidRDefault="005F31BD" w:rsidP="00A156E4">
      <w:pPr>
        <w:pStyle w:val="AutorenOrganisation"/>
        <w:rPr>
          <w:lang w:val="de-DE"/>
        </w:rPr>
      </w:pPr>
      <w:r>
        <w:rPr>
          <w:lang w:val="de-DE"/>
        </w:rPr>
        <w:t>Anne Kathrin</w:t>
      </w:r>
      <w:r w:rsidR="005E4D4F" w:rsidRPr="005F31BD">
        <w:rPr>
          <w:lang w:val="de-DE"/>
        </w:rPr>
        <w:t xml:space="preserve"> </w:t>
      </w:r>
      <w:r>
        <w:rPr>
          <w:lang w:val="de-DE"/>
        </w:rPr>
        <w:t>GESCHKE</w:t>
      </w:r>
      <w:r w:rsidR="005E4D4F" w:rsidRPr="00010E92">
        <w:rPr>
          <w:vertAlign w:val="superscript"/>
        </w:rPr>
        <w:footnoteReference w:id="1"/>
      </w:r>
      <w:r w:rsidR="00A156E4" w:rsidRPr="005F31BD">
        <w:rPr>
          <w:vertAlign w:val="superscript"/>
          <w:lang w:val="de-DE"/>
        </w:rPr>
        <w:t>(1)</w:t>
      </w:r>
      <w:r w:rsidR="005E4D4F" w:rsidRPr="005F31BD">
        <w:rPr>
          <w:lang w:val="de-DE"/>
        </w:rPr>
        <w:t xml:space="preserve">, </w:t>
      </w:r>
      <w:r>
        <w:rPr>
          <w:lang w:val="de-DE"/>
        </w:rPr>
        <w:t>Claus</w:t>
      </w:r>
      <w:r w:rsidR="00010E92" w:rsidRPr="005F31BD">
        <w:rPr>
          <w:lang w:val="de-DE"/>
        </w:rPr>
        <w:t xml:space="preserve"> </w:t>
      </w:r>
      <w:proofErr w:type="gramStart"/>
      <w:r>
        <w:rPr>
          <w:lang w:val="de-DE"/>
        </w:rPr>
        <w:t>HUBER</w:t>
      </w:r>
      <w:r w:rsidR="00A156E4" w:rsidRPr="005F31BD">
        <w:rPr>
          <w:vertAlign w:val="superscript"/>
          <w:lang w:val="de-DE"/>
        </w:rPr>
        <w:t>(</w:t>
      </w:r>
      <w:proofErr w:type="gramEnd"/>
      <w:r w:rsidR="00010E92" w:rsidRPr="005F31BD">
        <w:rPr>
          <w:vertAlign w:val="superscript"/>
          <w:lang w:val="de-DE"/>
        </w:rPr>
        <w:t>2</w:t>
      </w:r>
      <w:r w:rsidR="00A156E4" w:rsidRPr="005F31BD">
        <w:rPr>
          <w:vertAlign w:val="superscript"/>
          <w:lang w:val="de-DE"/>
        </w:rPr>
        <w:t>)</w:t>
      </w:r>
    </w:p>
    <w:p w14:paraId="31BB6490" w14:textId="1783476A" w:rsidR="005E4D4F" w:rsidRPr="005F31BD" w:rsidRDefault="00A156E4" w:rsidP="005E4D4F">
      <w:pPr>
        <w:pStyle w:val="AutorenOrganisation"/>
        <w:rPr>
          <w:lang w:val="en-US"/>
        </w:rPr>
      </w:pPr>
      <w:r w:rsidRPr="005F31BD">
        <w:rPr>
          <w:vertAlign w:val="superscript"/>
          <w:lang w:val="en-US"/>
        </w:rPr>
        <w:t>(</w:t>
      </w:r>
      <w:proofErr w:type="gramStart"/>
      <w:r w:rsidR="00010E92" w:rsidRPr="005F31BD">
        <w:rPr>
          <w:vertAlign w:val="superscript"/>
          <w:lang w:val="en-US"/>
        </w:rPr>
        <w:t>1</w:t>
      </w:r>
      <w:r w:rsidRPr="005F31BD">
        <w:rPr>
          <w:vertAlign w:val="superscript"/>
          <w:lang w:val="en-US"/>
        </w:rPr>
        <w:t>)</w:t>
      </w:r>
      <w:r w:rsidR="005F31BD" w:rsidRPr="005F31BD">
        <w:rPr>
          <w:lang w:val="en-US"/>
        </w:rPr>
        <w:t>Aurora</w:t>
      </w:r>
      <w:proofErr w:type="gramEnd"/>
      <w:r w:rsidR="005F31BD" w:rsidRPr="005F31BD">
        <w:rPr>
          <w:lang w:val="en-US"/>
        </w:rPr>
        <w:t xml:space="preserve"> Energy Research &amp; </w:t>
      </w:r>
      <w:proofErr w:type="spellStart"/>
      <w:r w:rsidR="005F31BD" w:rsidRPr="005F31BD">
        <w:rPr>
          <w:lang w:val="en-US"/>
        </w:rPr>
        <w:t>SciencesPo</w:t>
      </w:r>
      <w:proofErr w:type="spellEnd"/>
      <w:r w:rsidR="00010E92" w:rsidRPr="005F31BD">
        <w:rPr>
          <w:lang w:val="en-US"/>
        </w:rPr>
        <w:t xml:space="preserve">, </w:t>
      </w:r>
      <w:r w:rsidRPr="005F31BD">
        <w:rPr>
          <w:vertAlign w:val="superscript"/>
          <w:lang w:val="en-US"/>
        </w:rPr>
        <w:t>(</w:t>
      </w:r>
      <w:r w:rsidR="00010E92" w:rsidRPr="005F31BD">
        <w:rPr>
          <w:vertAlign w:val="superscript"/>
          <w:lang w:val="en-US"/>
        </w:rPr>
        <w:t>2</w:t>
      </w:r>
      <w:r w:rsidRPr="005F31BD">
        <w:rPr>
          <w:vertAlign w:val="superscript"/>
          <w:lang w:val="en-US"/>
        </w:rPr>
        <w:t>)</w:t>
      </w:r>
      <w:r w:rsidR="005F31BD" w:rsidRPr="005F31BD">
        <w:rPr>
          <w:lang w:val="en-US"/>
        </w:rPr>
        <w:t>A</w:t>
      </w:r>
      <w:r w:rsidR="005F31BD">
        <w:rPr>
          <w:lang w:val="en-US"/>
        </w:rPr>
        <w:t>xpo AG</w:t>
      </w:r>
    </w:p>
    <w:p w14:paraId="7D0DC61F" w14:textId="77777777" w:rsidR="00A07737" w:rsidRPr="005F31BD" w:rsidRDefault="00A07737" w:rsidP="00FB69AE">
      <w:pPr>
        <w:rPr>
          <w:lang w:val="en-US"/>
        </w:rPr>
      </w:pPr>
    </w:p>
    <w:p w14:paraId="14767CFD" w14:textId="77777777" w:rsidR="005E4D4F" w:rsidRPr="004508FF" w:rsidRDefault="005E4D4F" w:rsidP="005E4D4F">
      <w:pPr>
        <w:pStyle w:val="Ueberschrift"/>
        <w:rPr>
          <w:lang w:val="en-US"/>
        </w:rPr>
      </w:pPr>
      <w:r w:rsidRPr="004508FF">
        <w:rPr>
          <w:lang w:val="en-US"/>
        </w:rPr>
        <w:t xml:space="preserve">Motivation und </w:t>
      </w:r>
      <w:proofErr w:type="spellStart"/>
      <w:r w:rsidRPr="004508FF">
        <w:rPr>
          <w:lang w:val="en-US"/>
        </w:rPr>
        <w:t>zentrale</w:t>
      </w:r>
      <w:proofErr w:type="spellEnd"/>
      <w:r w:rsidRPr="004508FF">
        <w:rPr>
          <w:lang w:val="en-US"/>
        </w:rPr>
        <w:t xml:space="preserve"> </w:t>
      </w:r>
      <w:proofErr w:type="spellStart"/>
      <w:r w:rsidRPr="004508FF">
        <w:rPr>
          <w:lang w:val="en-US"/>
        </w:rPr>
        <w:t>Fragestellung</w:t>
      </w:r>
      <w:proofErr w:type="spellEnd"/>
    </w:p>
    <w:p w14:paraId="73DF7231" w14:textId="0406B08E" w:rsidR="003626F6" w:rsidRDefault="003626F6" w:rsidP="00227125">
      <w:pPr>
        <w:rPr>
          <w:lang w:val="en-US"/>
        </w:rPr>
      </w:pPr>
      <w:r w:rsidRPr="003626F6">
        <w:rPr>
          <w:lang w:val="en-US"/>
        </w:rPr>
        <w:t>Research question: What is the relationship between electricity pricing, electrolysis, and the cost of electrolyzed hydrogen?</w:t>
      </w:r>
    </w:p>
    <w:p w14:paraId="54276B4B" w14:textId="6D11863B" w:rsidR="003626F6" w:rsidRPr="003626F6" w:rsidRDefault="003626F6" w:rsidP="00227125">
      <w:pPr>
        <w:rPr>
          <w:lang w:val="en-US"/>
        </w:rPr>
      </w:pPr>
      <w:r>
        <w:rPr>
          <w:lang w:val="en-US"/>
        </w:rPr>
        <w:t xml:space="preserve">This paper explores the above research question with a focus on Germany as a case study. A deeper understanding of </w:t>
      </w:r>
      <w:r w:rsidR="004C7813">
        <w:rPr>
          <w:lang w:val="en-US"/>
        </w:rPr>
        <w:t>this</w:t>
      </w:r>
      <w:r>
        <w:rPr>
          <w:lang w:val="en-US"/>
        </w:rPr>
        <w:t xml:space="preserve"> relationship is important for two main reasons. One, </w:t>
      </w:r>
      <w:r w:rsidR="004C7813">
        <w:rPr>
          <w:lang w:val="en-US"/>
        </w:rPr>
        <w:t>assuming</w:t>
      </w:r>
      <w:r>
        <w:rPr>
          <w:lang w:val="en-US"/>
        </w:rPr>
        <w:t xml:space="preserve"> that electrolysis must </w:t>
      </w:r>
      <w:r w:rsidR="004C7813">
        <w:rPr>
          <w:lang w:val="en-US"/>
        </w:rPr>
        <w:t>be</w:t>
      </w:r>
      <w:r>
        <w:rPr>
          <w:lang w:val="en-US"/>
        </w:rPr>
        <w:t xml:space="preserve"> competitive with other types of hydrogen </w:t>
      </w:r>
      <w:r w:rsidR="004C7813">
        <w:rPr>
          <w:lang w:val="en-US"/>
        </w:rPr>
        <w:t xml:space="preserve">production </w:t>
      </w:r>
      <w:r w:rsidR="006B11DD">
        <w:rPr>
          <w:lang w:val="en-US"/>
        </w:rPr>
        <w:t>to</w:t>
      </w:r>
      <w:r w:rsidR="004C7813">
        <w:rPr>
          <w:lang w:val="en-US"/>
        </w:rPr>
        <w:t xml:space="preserve"> scale, it is valuable to understand </w:t>
      </w:r>
      <w:r>
        <w:rPr>
          <w:lang w:val="en-US"/>
        </w:rPr>
        <w:t xml:space="preserve">how it may become more competitive as sector coupling takes place. Two, </w:t>
      </w:r>
      <w:r w:rsidR="004C7813">
        <w:rPr>
          <w:lang w:val="en-US"/>
        </w:rPr>
        <w:t>said sector coupling holds potential stabilizing and electricity price-altering properties. Political, research-oriented, and private domains hence hold to gain from this research.</w:t>
      </w:r>
    </w:p>
    <w:p w14:paraId="041A4D9D" w14:textId="77777777" w:rsidR="005E4D4F" w:rsidRPr="004C7813" w:rsidRDefault="005E4D4F" w:rsidP="00227125">
      <w:pPr>
        <w:rPr>
          <w:lang w:val="en-US"/>
        </w:rPr>
      </w:pPr>
    </w:p>
    <w:p w14:paraId="00203371" w14:textId="77777777" w:rsidR="005E4D4F" w:rsidRPr="004C7813" w:rsidRDefault="005E4D4F" w:rsidP="005E4D4F">
      <w:pPr>
        <w:pStyle w:val="Ueberschrift"/>
        <w:rPr>
          <w:lang w:val="en-US"/>
        </w:rPr>
      </w:pPr>
      <w:proofErr w:type="spellStart"/>
      <w:r w:rsidRPr="004C7813">
        <w:rPr>
          <w:lang w:val="en-US"/>
        </w:rPr>
        <w:t>Methodische</w:t>
      </w:r>
      <w:proofErr w:type="spellEnd"/>
      <w:r w:rsidRPr="004C7813">
        <w:rPr>
          <w:lang w:val="en-US"/>
        </w:rPr>
        <w:t xml:space="preserve"> </w:t>
      </w:r>
      <w:proofErr w:type="spellStart"/>
      <w:r w:rsidRPr="004C7813">
        <w:rPr>
          <w:lang w:val="en-US"/>
        </w:rPr>
        <w:t>Vorgangsweise</w:t>
      </w:r>
      <w:proofErr w:type="spellEnd"/>
    </w:p>
    <w:p w14:paraId="45B5AACE" w14:textId="239AB9EB" w:rsidR="00680D0D" w:rsidRDefault="00680D0D" w:rsidP="00227125">
      <w:pPr>
        <w:rPr>
          <w:lang w:val="en-US"/>
        </w:rPr>
      </w:pPr>
      <w:r w:rsidRPr="00680D0D">
        <w:rPr>
          <w:lang w:val="en-US"/>
        </w:rPr>
        <w:t xml:space="preserve">This paper is based on two </w:t>
      </w:r>
      <w:r w:rsidR="00231E77">
        <w:rPr>
          <w:lang w:val="en-US"/>
        </w:rPr>
        <w:t>sets</w:t>
      </w:r>
      <w:r w:rsidRPr="00680D0D">
        <w:rPr>
          <w:lang w:val="en-US"/>
        </w:rPr>
        <w:t xml:space="preserve"> of analysis. One, we work with the Green-X model</w:t>
      </w:r>
      <w:r w:rsidR="0002629F">
        <w:rPr>
          <w:lang w:val="en-US"/>
        </w:rPr>
        <w:t xml:space="preserve"> (see source [6])</w:t>
      </w:r>
      <w:r w:rsidRPr="00680D0D">
        <w:rPr>
          <w:lang w:val="en-US"/>
        </w:rPr>
        <w:t xml:space="preserve"> to generate scenarios for electricity market developments up to 2050. Two, we integrate results from the model optimization into </w:t>
      </w:r>
      <w:r w:rsidR="00A63BE3">
        <w:rPr>
          <w:lang w:val="en-US"/>
        </w:rPr>
        <w:t xml:space="preserve">an </w:t>
      </w:r>
      <w:r w:rsidRPr="00680D0D">
        <w:rPr>
          <w:lang w:val="en-US"/>
        </w:rPr>
        <w:t>analysis on implications for competitiveness of H</w:t>
      </w:r>
      <w:r w:rsidRPr="0014004A">
        <w:rPr>
          <w:vertAlign w:val="subscript"/>
          <w:lang w:val="en-US"/>
        </w:rPr>
        <w:t>2</w:t>
      </w:r>
      <w:r w:rsidRPr="00680D0D">
        <w:rPr>
          <w:lang w:val="en-US"/>
        </w:rPr>
        <w:t xml:space="preserve">, electricity price formation, and needs for capacities. Therefore, we first obtain continuous internally coherent results for Germany’s electricity pricing and production (capacities) </w:t>
      </w:r>
      <w:r w:rsidR="002F5FF9">
        <w:rPr>
          <w:lang w:val="en-US"/>
        </w:rPr>
        <w:t xml:space="preserve">through </w:t>
      </w:r>
      <w:r w:rsidRPr="00680D0D">
        <w:rPr>
          <w:lang w:val="en-US"/>
        </w:rPr>
        <w:t>the Green X model. We then use these results to derive implications and perform analysis of practical nature, such as fluctuations in H</w:t>
      </w:r>
      <w:r w:rsidRPr="0014004A">
        <w:rPr>
          <w:vertAlign w:val="subscript"/>
          <w:lang w:val="en-US"/>
        </w:rPr>
        <w:t>2</w:t>
      </w:r>
      <w:r w:rsidRPr="00680D0D">
        <w:rPr>
          <w:lang w:val="en-US"/>
        </w:rPr>
        <w:t xml:space="preserve"> production or required flexibilities in demand and storage, or of theoretical nature, such as feedback loops between H2 prices and electricity prices. </w:t>
      </w:r>
    </w:p>
    <w:p w14:paraId="416E4751" w14:textId="3EB2D48E" w:rsidR="00680D0D" w:rsidRDefault="00680D0D" w:rsidP="00227125">
      <w:pPr>
        <w:rPr>
          <w:lang w:val="en-US"/>
        </w:rPr>
      </w:pPr>
    </w:p>
    <w:p w14:paraId="7DB6ADC4" w14:textId="6435382E" w:rsidR="001322E9" w:rsidRPr="00680D0D" w:rsidRDefault="00680D0D" w:rsidP="00227125">
      <w:pPr>
        <w:rPr>
          <w:lang w:val="en-US"/>
        </w:rPr>
      </w:pPr>
      <w:r>
        <w:rPr>
          <w:lang w:val="en-US"/>
        </w:rPr>
        <w:t xml:space="preserve">The Green X model </w:t>
      </w:r>
      <w:r w:rsidRPr="00680D0D">
        <w:rPr>
          <w:lang w:val="en-US"/>
        </w:rPr>
        <w:t>is a techno-economic, partial equilibrium model of European wholesale electricity markets.</w:t>
      </w:r>
      <w:r>
        <w:rPr>
          <w:lang w:val="en-US"/>
        </w:rPr>
        <w:t xml:space="preserve"> It models the development of 20 European markets </w:t>
      </w:r>
      <w:r w:rsidR="001322E9">
        <w:rPr>
          <w:lang w:val="en-US"/>
        </w:rPr>
        <w:t xml:space="preserve">by minimizing costs for the investment in and dispatch of power plants under production, trade, and technical constraints. </w:t>
      </w:r>
    </w:p>
    <w:p w14:paraId="28014A93" w14:textId="68B91FD7" w:rsidR="00680D0D" w:rsidRDefault="00680D0D" w:rsidP="00227125">
      <w:pPr>
        <w:rPr>
          <w:lang w:val="en-US"/>
        </w:rPr>
      </w:pPr>
    </w:p>
    <w:p w14:paraId="210760DC" w14:textId="1CF15EEC" w:rsidR="001322E9" w:rsidRDefault="002F5FF9" w:rsidP="00227125">
      <w:pPr>
        <w:rPr>
          <w:lang w:val="en-US"/>
        </w:rPr>
      </w:pPr>
      <w:r>
        <w:rPr>
          <w:lang w:val="en-US"/>
        </w:rPr>
        <w:t>Importantly, t</w:t>
      </w:r>
      <w:r w:rsidR="001322E9">
        <w:rPr>
          <w:lang w:val="en-US"/>
        </w:rPr>
        <w:t>he results from the</w:t>
      </w:r>
      <w:r>
        <w:rPr>
          <w:lang w:val="en-US"/>
        </w:rPr>
        <w:t xml:space="preserve"> </w:t>
      </w:r>
      <w:r w:rsidR="001322E9">
        <w:rPr>
          <w:lang w:val="en-US"/>
        </w:rPr>
        <w:t>model</w:t>
      </w:r>
      <w:r w:rsidR="00231E77">
        <w:rPr>
          <w:lang w:val="en-US"/>
        </w:rPr>
        <w:t>-</w:t>
      </w:r>
      <w:r>
        <w:rPr>
          <w:lang w:val="en-US"/>
        </w:rPr>
        <w:t>run</w:t>
      </w:r>
      <w:r w:rsidR="001322E9">
        <w:rPr>
          <w:lang w:val="en-US"/>
        </w:rPr>
        <w:t xml:space="preserve"> inform </w:t>
      </w:r>
      <w:r>
        <w:rPr>
          <w:lang w:val="en-US"/>
        </w:rPr>
        <w:t xml:space="preserve">the level at which </w:t>
      </w:r>
      <w:r w:rsidR="001322E9">
        <w:rPr>
          <w:lang w:val="en-US"/>
        </w:rPr>
        <w:t xml:space="preserve">electrolysis may be competitive in different years. </w:t>
      </w:r>
      <w:r>
        <w:rPr>
          <w:lang w:val="en-US"/>
        </w:rPr>
        <w:t>We integrate this additional electricity demand into the model to create</w:t>
      </w:r>
      <w:r w:rsidR="00231E77">
        <w:rPr>
          <w:lang w:val="en-US"/>
        </w:rPr>
        <w:t xml:space="preserve"> a</w:t>
      </w:r>
      <w:r>
        <w:rPr>
          <w:lang w:val="en-US"/>
        </w:rPr>
        <w:t xml:space="preserve"> feedback loop between additional demand and market development.</w:t>
      </w:r>
      <w:r w:rsidR="00231E77">
        <w:rPr>
          <w:lang w:val="en-US"/>
        </w:rPr>
        <w:t xml:space="preserve"> </w:t>
      </w:r>
      <w:r w:rsidR="00A63BE3">
        <w:rPr>
          <w:lang w:val="en-US"/>
        </w:rPr>
        <w:t>We performed t</w:t>
      </w:r>
      <w:r w:rsidR="00231E77">
        <w:rPr>
          <w:lang w:val="en-US"/>
        </w:rPr>
        <w:t>he two-step analysis</w:t>
      </w:r>
      <w:r w:rsidR="00A63BE3">
        <w:rPr>
          <w:lang w:val="en-US"/>
        </w:rPr>
        <w:t xml:space="preserve"> </w:t>
      </w:r>
      <w:r w:rsidR="00231E77">
        <w:rPr>
          <w:lang w:val="en-US"/>
        </w:rPr>
        <w:t xml:space="preserve">multiple times. </w:t>
      </w:r>
    </w:p>
    <w:p w14:paraId="449B4BD7" w14:textId="77777777" w:rsidR="005E4D4F" w:rsidRPr="001322E9" w:rsidRDefault="005E4D4F" w:rsidP="00227125">
      <w:pPr>
        <w:rPr>
          <w:lang w:val="en-US"/>
        </w:rPr>
      </w:pPr>
    </w:p>
    <w:p w14:paraId="14B95358" w14:textId="77777777" w:rsidR="005E4D4F" w:rsidRPr="002F5FF9" w:rsidRDefault="005E4D4F" w:rsidP="005E4D4F">
      <w:pPr>
        <w:pStyle w:val="Ueberschrift"/>
        <w:rPr>
          <w:lang w:val="en-US"/>
        </w:rPr>
      </w:pPr>
      <w:proofErr w:type="spellStart"/>
      <w:r w:rsidRPr="002F5FF9">
        <w:rPr>
          <w:lang w:val="en-US"/>
        </w:rPr>
        <w:t>Ergebnisse</w:t>
      </w:r>
      <w:proofErr w:type="spellEnd"/>
      <w:r w:rsidRPr="002F5FF9">
        <w:rPr>
          <w:lang w:val="en-US"/>
        </w:rPr>
        <w:t xml:space="preserve"> und </w:t>
      </w:r>
      <w:proofErr w:type="spellStart"/>
      <w:r w:rsidRPr="002F5FF9">
        <w:rPr>
          <w:lang w:val="en-US"/>
        </w:rPr>
        <w:t>Schlussfolgerungen</w:t>
      </w:r>
      <w:proofErr w:type="spellEnd"/>
    </w:p>
    <w:p w14:paraId="126760C0" w14:textId="3D873534" w:rsidR="003B3F7C" w:rsidRDefault="003B3F7C" w:rsidP="00227125">
      <w:pPr>
        <w:rPr>
          <w:lang w:val="en-US"/>
        </w:rPr>
      </w:pPr>
      <w:r w:rsidRPr="003B3F7C">
        <w:rPr>
          <w:lang w:val="en-US"/>
        </w:rPr>
        <w:t xml:space="preserve">We divide our findings into three levels. </w:t>
      </w:r>
      <w:r>
        <w:rPr>
          <w:lang w:val="en-US"/>
        </w:rPr>
        <w:t>On the first level, we find that</w:t>
      </w:r>
      <w:r w:rsidR="00EF7256">
        <w:rPr>
          <w:lang w:val="en-US"/>
        </w:rPr>
        <w:t xml:space="preserve"> </w:t>
      </w:r>
      <w:r>
        <w:rPr>
          <w:lang w:val="en-US"/>
        </w:rPr>
        <w:t>electrolyzed hydrogen can be competitive with other</w:t>
      </w:r>
      <w:r w:rsidR="00993686">
        <w:rPr>
          <w:lang w:val="en-US"/>
        </w:rPr>
        <w:t xml:space="preserve"> low-carbon</w:t>
      </w:r>
      <w:r>
        <w:rPr>
          <w:lang w:val="en-US"/>
        </w:rPr>
        <w:t xml:space="preserve"> sources</w:t>
      </w:r>
      <w:r w:rsidR="00993686">
        <w:rPr>
          <w:lang w:val="en-US"/>
        </w:rPr>
        <w:t>, specifically blue hydrogen,</w:t>
      </w:r>
      <w:r>
        <w:rPr>
          <w:lang w:val="en-US"/>
        </w:rPr>
        <w:t xml:space="preserve"> at up to 6250 </w:t>
      </w:r>
      <w:r w:rsidR="00993686">
        <w:rPr>
          <w:lang w:val="en-US"/>
        </w:rPr>
        <w:t xml:space="preserve">yearly </w:t>
      </w:r>
      <w:r>
        <w:rPr>
          <w:lang w:val="en-US"/>
        </w:rPr>
        <w:t xml:space="preserve">full load hours (FLH) </w:t>
      </w:r>
      <w:r w:rsidR="00993686">
        <w:rPr>
          <w:lang w:val="en-US"/>
        </w:rPr>
        <w:t>in 2050</w:t>
      </w:r>
      <w:r w:rsidR="002A7E6A">
        <w:rPr>
          <w:lang w:val="en-US"/>
        </w:rPr>
        <w:t xml:space="preserve"> or</w:t>
      </w:r>
      <w:r w:rsidR="00993686">
        <w:rPr>
          <w:lang w:val="en-US"/>
        </w:rPr>
        <w:t xml:space="preserve"> 5200 FLH</w:t>
      </w:r>
      <w:r w:rsidR="002A7E6A">
        <w:rPr>
          <w:lang w:val="en-US"/>
        </w:rPr>
        <w:t xml:space="preserve"> in 2030</w:t>
      </w:r>
      <w:r w:rsidR="00993686">
        <w:rPr>
          <w:lang w:val="en-US"/>
        </w:rPr>
        <w:t xml:space="preserve">. In both years this implies a levelized cost of hydrogen (LCOH) of 70 EUR/MWh (LHV). </w:t>
      </w:r>
    </w:p>
    <w:p w14:paraId="7E540F00" w14:textId="67871117" w:rsidR="00993686" w:rsidRDefault="00993686" w:rsidP="00227125">
      <w:pPr>
        <w:rPr>
          <w:lang w:val="en-US"/>
        </w:rPr>
      </w:pPr>
    </w:p>
    <w:p w14:paraId="4EE2EC90" w14:textId="1CE9DF77" w:rsidR="00993686" w:rsidRDefault="00993686" w:rsidP="00227125">
      <w:pPr>
        <w:rPr>
          <w:lang w:val="en-US"/>
        </w:rPr>
      </w:pPr>
      <w:r>
        <w:rPr>
          <w:lang w:val="en-US"/>
        </w:rPr>
        <w:t xml:space="preserve">On the second level, we look at feedback loops </w:t>
      </w:r>
      <w:r w:rsidR="00A63BE3">
        <w:rPr>
          <w:lang w:val="en-US"/>
        </w:rPr>
        <w:t>between</w:t>
      </w:r>
      <w:r>
        <w:rPr>
          <w:lang w:val="en-US"/>
        </w:rPr>
        <w:t xml:space="preserve"> electrolysis and electricity markets. Generally, we find that electrolysis leads to less electricity price volatility and reduces cannibalization for renewable energy sources. Higher flexibility in hydrogen production enhances this effect while allowing for lower electrolysis based LCOH. </w:t>
      </w:r>
    </w:p>
    <w:p w14:paraId="054981B4" w14:textId="0E416853" w:rsidR="003B3F7C" w:rsidRDefault="003B3F7C" w:rsidP="00227125">
      <w:pPr>
        <w:rPr>
          <w:lang w:val="en-US"/>
        </w:rPr>
      </w:pPr>
    </w:p>
    <w:p w14:paraId="6AA9A19A" w14:textId="12B13CD9" w:rsidR="00874D73" w:rsidRDefault="00993686" w:rsidP="00A63BE3">
      <w:pPr>
        <w:rPr>
          <w:lang w:val="en-US"/>
        </w:rPr>
      </w:pPr>
      <w:r>
        <w:rPr>
          <w:lang w:val="en-US"/>
        </w:rPr>
        <w:t>On the third level, we draw generalize</w:t>
      </w:r>
      <w:r w:rsidR="002A7E6A">
        <w:rPr>
          <w:lang w:val="en-US"/>
        </w:rPr>
        <w:t>d</w:t>
      </w:r>
      <w:r>
        <w:rPr>
          <w:lang w:val="en-US"/>
        </w:rPr>
        <w:t xml:space="preserve"> conclusions for how this sector coupling changes electricity supply and demand curves in highly decarbonized systems</w:t>
      </w:r>
      <w:r w:rsidR="002A7E6A">
        <w:rPr>
          <w:lang w:val="en-US"/>
        </w:rPr>
        <w:t xml:space="preserve"> (see Figure 1)</w:t>
      </w:r>
      <w:r>
        <w:rPr>
          <w:lang w:val="en-US"/>
        </w:rPr>
        <w:t>.</w:t>
      </w:r>
      <w:r w:rsidR="00EF7256">
        <w:rPr>
          <w:lang w:val="en-US"/>
        </w:rPr>
        <w:t xml:space="preserve"> </w:t>
      </w:r>
      <w:proofErr w:type="spellStart"/>
      <w:r w:rsidR="00EF7256">
        <w:rPr>
          <w:lang w:val="en-US"/>
        </w:rPr>
        <w:t>Electrolyzers</w:t>
      </w:r>
      <w:proofErr w:type="spellEnd"/>
      <w:r w:rsidR="00EF7256">
        <w:rPr>
          <w:lang w:val="en-US"/>
        </w:rPr>
        <w:t xml:space="preserve"> allow for a “price plateau” to form in the demand curv</w:t>
      </w:r>
      <w:r w:rsidR="00874D73">
        <w:rPr>
          <w:lang w:val="en-US"/>
        </w:rPr>
        <w:t>e</w:t>
      </w:r>
      <w:r w:rsidR="00A63BE3">
        <w:rPr>
          <w:lang w:val="en-US"/>
        </w:rPr>
        <w:t xml:space="preserve">, </w:t>
      </w:r>
      <w:proofErr w:type="gramStart"/>
      <w:r w:rsidR="00A63BE3">
        <w:rPr>
          <w:lang w:val="en-US"/>
        </w:rPr>
        <w:t>At</w:t>
      </w:r>
      <w:proofErr w:type="gramEnd"/>
      <w:r w:rsidR="00A63BE3">
        <w:rPr>
          <w:lang w:val="en-US"/>
        </w:rPr>
        <w:t xml:space="preserve"> this plateau, </w:t>
      </w:r>
      <w:proofErr w:type="spellStart"/>
      <w:r w:rsidR="00EF7256">
        <w:rPr>
          <w:lang w:val="en-US"/>
        </w:rPr>
        <w:t>electrolyzers</w:t>
      </w:r>
      <w:proofErr w:type="spellEnd"/>
      <w:r w:rsidR="00EF7256">
        <w:rPr>
          <w:lang w:val="en-US"/>
        </w:rPr>
        <w:t xml:space="preserve"> </w:t>
      </w:r>
      <w:r w:rsidR="00874D73">
        <w:rPr>
          <w:lang w:val="en-US"/>
        </w:rPr>
        <w:t>are price-setting</w:t>
      </w:r>
      <w:r w:rsidR="00EF7256">
        <w:rPr>
          <w:lang w:val="en-US"/>
        </w:rPr>
        <w:t>.</w:t>
      </w:r>
      <w:r w:rsidR="002A7E6A">
        <w:rPr>
          <w:lang w:val="en-US"/>
        </w:rPr>
        <w:t xml:space="preserve"> The curve continues to shift vertically depending on weather, time</w:t>
      </w:r>
      <w:r w:rsidR="00874D73">
        <w:rPr>
          <w:lang w:val="en-US"/>
        </w:rPr>
        <w:t>,</w:t>
      </w:r>
      <w:r w:rsidR="002A7E6A">
        <w:rPr>
          <w:lang w:val="en-US"/>
        </w:rPr>
        <w:t xml:space="preserve"> and season.</w:t>
      </w:r>
      <w:r w:rsidR="00EF7256">
        <w:rPr>
          <w:lang w:val="en-US"/>
        </w:rPr>
        <w:t xml:space="preserve"> Secondly, supply from storage</w:t>
      </w:r>
      <w:r w:rsidR="007267D2">
        <w:rPr>
          <w:lang w:val="en-US"/>
        </w:rPr>
        <w:t xml:space="preserve">, </w:t>
      </w:r>
      <w:r w:rsidR="00EF7256">
        <w:rPr>
          <w:lang w:val="en-US"/>
        </w:rPr>
        <w:t>such as hydrogen</w:t>
      </w:r>
      <w:r w:rsidR="007267D2">
        <w:rPr>
          <w:lang w:val="en-US"/>
        </w:rPr>
        <w:t>,</w:t>
      </w:r>
      <w:r w:rsidR="00EF7256">
        <w:rPr>
          <w:lang w:val="en-US"/>
        </w:rPr>
        <w:t xml:space="preserve"> decrease</w:t>
      </w:r>
      <w:r w:rsidR="007267D2">
        <w:rPr>
          <w:lang w:val="en-US"/>
        </w:rPr>
        <w:t>s</w:t>
      </w:r>
      <w:r w:rsidR="00EF7256">
        <w:rPr>
          <w:lang w:val="en-US"/>
        </w:rPr>
        <w:t xml:space="preserve"> seasonal</w:t>
      </w:r>
      <w:r w:rsidR="007267D2">
        <w:rPr>
          <w:lang w:val="en-US"/>
        </w:rPr>
        <w:t xml:space="preserve"> price</w:t>
      </w:r>
      <w:r w:rsidR="00EF7256">
        <w:rPr>
          <w:lang w:val="en-US"/>
        </w:rPr>
        <w:t xml:space="preserve"> fluctuations in the supply curve, not negating but decreasing </w:t>
      </w:r>
      <w:r w:rsidR="007267D2">
        <w:rPr>
          <w:lang w:val="en-US"/>
        </w:rPr>
        <w:t>differences between curves</w:t>
      </w:r>
      <w:r w:rsidR="002A7E6A">
        <w:rPr>
          <w:lang w:val="en-US"/>
        </w:rPr>
        <w:t xml:space="preserve"> (horizontal shift)</w:t>
      </w:r>
      <w:r w:rsidR="00EF7256">
        <w:rPr>
          <w:lang w:val="en-US"/>
        </w:rPr>
        <w:t xml:space="preserve">. </w:t>
      </w:r>
    </w:p>
    <w:p w14:paraId="0C7BCE4B" w14:textId="0B908FB5" w:rsidR="00A63BE3" w:rsidRDefault="00E64B06" w:rsidP="00874D73">
      <w:pPr>
        <w:jc w:val="center"/>
        <w:rPr>
          <w:i/>
          <w:iCs/>
          <w:lang w:val="en-US"/>
        </w:rPr>
      </w:pPr>
      <w:r>
        <w:rPr>
          <w:noProof/>
        </w:rPr>
        <w:lastRenderedPageBreak/>
        <w:drawing>
          <wp:inline distT="0" distB="0" distL="0" distR="0" wp14:anchorId="5D0EBF6E" wp14:editId="34B9CC83">
            <wp:extent cx="2346468" cy="18954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9018" cy="1905613"/>
                    </a:xfrm>
                    <a:prstGeom prst="rect">
                      <a:avLst/>
                    </a:prstGeom>
                  </pic:spPr>
                </pic:pic>
              </a:graphicData>
            </a:graphic>
          </wp:inline>
        </w:drawing>
      </w:r>
      <w:r>
        <w:rPr>
          <w:noProof/>
        </w:rPr>
        <w:drawing>
          <wp:inline distT="0" distB="0" distL="0" distR="0" wp14:anchorId="11F532D5" wp14:editId="1F4CC914">
            <wp:extent cx="2343150" cy="18927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7545" cy="1928658"/>
                    </a:xfrm>
                    <a:prstGeom prst="rect">
                      <a:avLst/>
                    </a:prstGeom>
                  </pic:spPr>
                </pic:pic>
              </a:graphicData>
            </a:graphic>
          </wp:inline>
        </w:drawing>
      </w:r>
    </w:p>
    <w:p w14:paraId="6233F55E" w14:textId="012473FF" w:rsidR="00EF7256" w:rsidRPr="00E64B06" w:rsidRDefault="002A7E6A" w:rsidP="00874D73">
      <w:pPr>
        <w:jc w:val="center"/>
        <w:rPr>
          <w:i/>
          <w:iCs/>
          <w:sz w:val="16"/>
          <w:szCs w:val="20"/>
          <w:lang w:val="en-US"/>
        </w:rPr>
      </w:pPr>
      <w:r>
        <w:rPr>
          <w:i/>
          <w:iCs/>
          <w:lang w:val="en-US"/>
        </w:rPr>
        <w:t>Figure</w:t>
      </w:r>
      <w:r w:rsidR="00EF7256" w:rsidRPr="00EF7256">
        <w:rPr>
          <w:i/>
          <w:iCs/>
          <w:lang w:val="en-US"/>
        </w:rPr>
        <w:t xml:space="preserve"> 1: Generalized </w:t>
      </w:r>
      <w:r>
        <w:rPr>
          <w:i/>
          <w:iCs/>
          <w:lang w:val="en-US"/>
        </w:rPr>
        <w:t>e</w:t>
      </w:r>
      <w:r w:rsidR="00EF7256" w:rsidRPr="00EF7256">
        <w:rPr>
          <w:i/>
          <w:iCs/>
          <w:lang w:val="en-US"/>
        </w:rPr>
        <w:t xml:space="preserve">lectricity </w:t>
      </w:r>
      <w:r>
        <w:rPr>
          <w:i/>
          <w:iCs/>
          <w:lang w:val="en-US"/>
        </w:rPr>
        <w:t>s</w:t>
      </w:r>
      <w:r w:rsidR="00EF7256" w:rsidRPr="00EF7256">
        <w:rPr>
          <w:i/>
          <w:iCs/>
          <w:lang w:val="en-US"/>
        </w:rPr>
        <w:t xml:space="preserve">upply and </w:t>
      </w:r>
      <w:r>
        <w:rPr>
          <w:i/>
          <w:iCs/>
          <w:lang w:val="en-US"/>
        </w:rPr>
        <w:t>d</w:t>
      </w:r>
      <w:r w:rsidR="00EF7256" w:rsidRPr="00EF7256">
        <w:rPr>
          <w:i/>
          <w:iCs/>
          <w:lang w:val="en-US"/>
        </w:rPr>
        <w:t xml:space="preserve">emand in </w:t>
      </w:r>
      <w:r>
        <w:rPr>
          <w:i/>
          <w:iCs/>
          <w:lang w:val="en-US"/>
        </w:rPr>
        <w:t>h</w:t>
      </w:r>
      <w:r w:rsidR="00EF7256" w:rsidRPr="00EF7256">
        <w:rPr>
          <w:i/>
          <w:iCs/>
          <w:lang w:val="en-US"/>
        </w:rPr>
        <w:t xml:space="preserve">ighly </w:t>
      </w:r>
      <w:r>
        <w:rPr>
          <w:i/>
          <w:iCs/>
          <w:lang w:val="en-US"/>
        </w:rPr>
        <w:t>d</w:t>
      </w:r>
      <w:r w:rsidR="00EF7256" w:rsidRPr="00EF7256">
        <w:rPr>
          <w:i/>
          <w:iCs/>
          <w:lang w:val="en-US"/>
        </w:rPr>
        <w:t xml:space="preserve">ecarbonized </w:t>
      </w:r>
      <w:r>
        <w:rPr>
          <w:i/>
          <w:iCs/>
          <w:lang w:val="en-US"/>
        </w:rPr>
        <w:t>s</w:t>
      </w:r>
      <w:r w:rsidR="00EF7256" w:rsidRPr="00EF7256">
        <w:rPr>
          <w:i/>
          <w:iCs/>
          <w:lang w:val="en-US"/>
        </w:rPr>
        <w:t>ystems</w:t>
      </w:r>
      <w:r w:rsidR="00E64B06">
        <w:rPr>
          <w:i/>
          <w:iCs/>
          <w:lang w:val="en-US"/>
        </w:rPr>
        <w:t xml:space="preserve"> </w:t>
      </w:r>
      <w:r w:rsidR="00E64B06">
        <w:rPr>
          <w:i/>
          <w:iCs/>
          <w:lang w:val="en-US"/>
        </w:rPr>
        <w:br/>
      </w:r>
      <w:r w:rsidR="00E64B06" w:rsidRPr="00E64B06">
        <w:rPr>
          <w:i/>
          <w:iCs/>
          <w:sz w:val="16"/>
          <w:szCs w:val="20"/>
          <w:lang w:val="en-US"/>
        </w:rPr>
        <w:t>(D’ &amp; S’ show periodic and seasonal shift of Demand (D) &amp; Supply (S); P = Price; Q Quantity of Demand &amp; Supply)</w:t>
      </w:r>
    </w:p>
    <w:p w14:paraId="27A1FA20" w14:textId="06CC170D" w:rsidR="002946B8" w:rsidRPr="00874D73" w:rsidRDefault="002946B8" w:rsidP="00227125">
      <w:pPr>
        <w:rPr>
          <w:lang w:val="en-US"/>
        </w:rPr>
      </w:pPr>
    </w:p>
    <w:p w14:paraId="0C0574B2" w14:textId="7615B855" w:rsidR="005E4D4F" w:rsidRPr="005E4D4F" w:rsidRDefault="005E4D4F" w:rsidP="00A156E4">
      <w:pPr>
        <w:pStyle w:val="Ueberschrift"/>
      </w:pPr>
      <w:bookmarkStart w:id="0" w:name="_Toc26086066"/>
      <w:bookmarkStart w:id="1" w:name="_Toc68418491"/>
      <w:r w:rsidRPr="005E4D4F">
        <w:t>Literatur</w:t>
      </w:r>
      <w:bookmarkEnd w:id="0"/>
      <w:bookmarkEnd w:id="1"/>
    </w:p>
    <w:p w14:paraId="4E2C3183" w14:textId="77777777" w:rsidR="00FA248B" w:rsidRPr="00E64B06" w:rsidRDefault="00FA248B" w:rsidP="00FA248B">
      <w:pPr>
        <w:pStyle w:val="Literatur"/>
        <w:rPr>
          <w:lang w:val="en-US"/>
        </w:rPr>
      </w:pPr>
      <w:r w:rsidRPr="00E64B06">
        <w:t xml:space="preserve">[1] Antweiler, Werner, and Felix </w:t>
      </w:r>
      <w:proofErr w:type="spellStart"/>
      <w:r w:rsidRPr="00E64B06">
        <w:t>Muesgens</w:t>
      </w:r>
      <w:proofErr w:type="spellEnd"/>
      <w:r w:rsidRPr="00E64B06">
        <w:t xml:space="preserve">. </w:t>
      </w:r>
      <w:r w:rsidRPr="00E64B06">
        <w:rPr>
          <w:lang w:val="en-US"/>
        </w:rPr>
        <w:t>2021. “On the Long-Term Merit Order Effect of Renewable Energies.” Energy Economics 99 (July): 105275. https://doi.org/10.1016/j.eneco.2021.105275.</w:t>
      </w:r>
    </w:p>
    <w:p w14:paraId="10745B50" w14:textId="2A857DFE" w:rsidR="00FA248B" w:rsidRPr="00E64B06" w:rsidRDefault="00FA248B" w:rsidP="00FA248B">
      <w:pPr>
        <w:pStyle w:val="Literatur"/>
        <w:rPr>
          <w:lang w:val="en-US"/>
        </w:rPr>
      </w:pPr>
      <w:r w:rsidRPr="00E64B06">
        <w:rPr>
          <w:lang w:val="en-US"/>
        </w:rPr>
        <w:t>[2]</w:t>
      </w:r>
      <w:r w:rsidR="0002629F" w:rsidRPr="00E64B06">
        <w:rPr>
          <w:lang w:val="en-US"/>
        </w:rPr>
        <w:t xml:space="preserve"> </w:t>
      </w:r>
      <w:r w:rsidRPr="00E64B06">
        <w:rPr>
          <w:lang w:val="en-US"/>
        </w:rPr>
        <w:t xml:space="preserve">Cloete, Schalk, Oliver </w:t>
      </w:r>
      <w:proofErr w:type="spellStart"/>
      <w:r w:rsidRPr="00E64B06">
        <w:rPr>
          <w:lang w:val="en-US"/>
        </w:rPr>
        <w:t>Ruhnau</w:t>
      </w:r>
      <w:proofErr w:type="spellEnd"/>
      <w:r w:rsidRPr="00E64B06">
        <w:rPr>
          <w:lang w:val="en-US"/>
        </w:rPr>
        <w:t xml:space="preserve">, and Lion </w:t>
      </w:r>
      <w:proofErr w:type="spellStart"/>
      <w:r w:rsidRPr="00E64B06">
        <w:rPr>
          <w:lang w:val="en-US"/>
        </w:rPr>
        <w:t>Hirth</w:t>
      </w:r>
      <w:proofErr w:type="spellEnd"/>
      <w:r w:rsidRPr="00E64B06">
        <w:rPr>
          <w:lang w:val="en-US"/>
        </w:rPr>
        <w:t>. 2021. “On Capital Utilization in the Hydrogen Economy: The Quest to Minimize Idle Capacity in Renewables-Rich Energy Systems.” International Journal of Hydrogen Energy 46 (1): 169–88. https://doi.org/10.1016/j.ijhydene.2020.09.197.</w:t>
      </w:r>
    </w:p>
    <w:p w14:paraId="5ADFD50B" w14:textId="2193ADE9" w:rsidR="00FA248B" w:rsidRPr="00E64B06" w:rsidRDefault="00FA248B" w:rsidP="00FA248B">
      <w:pPr>
        <w:pStyle w:val="Literatur"/>
        <w:rPr>
          <w:lang w:val="en-US"/>
        </w:rPr>
      </w:pPr>
      <w:r w:rsidRPr="00E64B06">
        <w:rPr>
          <w:lang w:val="en-US"/>
        </w:rPr>
        <w:t xml:space="preserve">[3] COMMISSION DELEGATED REGULATION (EU) …/... Supplementing Directive (EU) 2018/2001 of the European Parliament and of the Council by Establishing a Union Methodology Setting out Detailed Rules </w:t>
      </w:r>
      <w:proofErr w:type="gramStart"/>
      <w:r w:rsidRPr="00E64B06">
        <w:rPr>
          <w:lang w:val="en-US"/>
        </w:rPr>
        <w:t>for the Production of</w:t>
      </w:r>
      <w:proofErr w:type="gramEnd"/>
      <w:r w:rsidRPr="00E64B06">
        <w:rPr>
          <w:lang w:val="en-US"/>
        </w:rPr>
        <w:t xml:space="preserve"> Renewable Liquid and Gaseous Transport Fuels of Non-Biological Origin. 2022. https://eur-lex.europa.eu/legal-content/EN/TXT/?uri=PI_COM%3AAres%282022%293836651&amp;qid=1653291274660.</w:t>
      </w:r>
    </w:p>
    <w:p w14:paraId="57FCDDB0" w14:textId="192CA314" w:rsidR="00FA248B" w:rsidRPr="00E64B06" w:rsidRDefault="00FA248B" w:rsidP="00FA248B">
      <w:pPr>
        <w:pStyle w:val="Literatur"/>
        <w:rPr>
          <w:lang w:val="en-US"/>
        </w:rPr>
      </w:pPr>
      <w:r w:rsidRPr="00E64B06">
        <w:t xml:space="preserve">[4] </w:t>
      </w:r>
      <w:proofErr w:type="spellStart"/>
      <w:r w:rsidRPr="00E64B06">
        <w:t>Glenk</w:t>
      </w:r>
      <w:proofErr w:type="spellEnd"/>
      <w:r w:rsidRPr="00E64B06">
        <w:t xml:space="preserve">, Gunther, and S. Reichelstein. </w:t>
      </w:r>
      <w:r w:rsidRPr="00E64B06">
        <w:rPr>
          <w:lang w:val="en-US"/>
        </w:rPr>
        <w:t>2019. “Economics of Converting Renewable Power to Hydrogen.” Nature Energy. https://doi.org/10.1038/S41560-019-0326-1.</w:t>
      </w:r>
    </w:p>
    <w:p w14:paraId="1AD188D9" w14:textId="73A70D64" w:rsidR="00FA248B" w:rsidRPr="00E64B06" w:rsidRDefault="00FA248B" w:rsidP="00FA248B">
      <w:pPr>
        <w:pStyle w:val="Literatur"/>
        <w:rPr>
          <w:lang w:val="en-US"/>
        </w:rPr>
      </w:pPr>
      <w:r w:rsidRPr="00E64B06">
        <w:rPr>
          <w:lang w:val="en-US"/>
        </w:rPr>
        <w:t xml:space="preserve">[5] Green, Richard, Helen Hu, and Nicholas </w:t>
      </w:r>
      <w:proofErr w:type="spellStart"/>
      <w:r w:rsidRPr="00E64B06">
        <w:rPr>
          <w:lang w:val="en-US"/>
        </w:rPr>
        <w:t>Vasilakos</w:t>
      </w:r>
      <w:proofErr w:type="spellEnd"/>
      <w:r w:rsidRPr="00E64B06">
        <w:rPr>
          <w:lang w:val="en-US"/>
        </w:rPr>
        <w:t>. 2011. “Turning the Wind into Hydrogen: The Long-Run Impact on Electricity Prices and Generating Capacity.” Energy Policy, Special Section: Renewable energy policy and development, 39 (7): 3992–98. https://doi.org/10.1016/j.enpol.2010.11.007.</w:t>
      </w:r>
    </w:p>
    <w:p w14:paraId="737BB37D" w14:textId="7039C260" w:rsidR="00FA248B" w:rsidRPr="00E64B06" w:rsidRDefault="00FA248B" w:rsidP="00FA248B">
      <w:pPr>
        <w:pStyle w:val="Literatur"/>
        <w:rPr>
          <w:lang w:val="en-US"/>
        </w:rPr>
      </w:pPr>
      <w:r w:rsidRPr="00E64B06">
        <w:rPr>
          <w:lang w:val="en-US"/>
        </w:rPr>
        <w:t xml:space="preserve">[6] Huber, Claus. 2004. “Green-X: Deriving Optimal Promotion Strategies for Increasing the Share of RES-E in Dynamic European Electricity Market.” Firth Framework </w:t>
      </w:r>
      <w:proofErr w:type="spellStart"/>
      <w:r w:rsidRPr="00E64B06">
        <w:rPr>
          <w:lang w:val="en-US"/>
        </w:rPr>
        <w:t>Programme</w:t>
      </w:r>
      <w:proofErr w:type="spellEnd"/>
      <w:r w:rsidRPr="00E64B06">
        <w:rPr>
          <w:lang w:val="en-US"/>
        </w:rPr>
        <w:t xml:space="preserve"> of the European Commission. DG </w:t>
      </w:r>
      <w:proofErr w:type="spellStart"/>
      <w:r w:rsidRPr="00E64B06">
        <w:rPr>
          <w:lang w:val="en-US"/>
        </w:rPr>
        <w:t>Reasearch</w:t>
      </w:r>
      <w:proofErr w:type="spellEnd"/>
      <w:r w:rsidRPr="00E64B06">
        <w:rPr>
          <w:lang w:val="en-US"/>
        </w:rPr>
        <w:t>.</w:t>
      </w:r>
    </w:p>
    <w:p w14:paraId="6BA1A743" w14:textId="0433FAD9" w:rsidR="00FA248B" w:rsidRPr="00E64B06" w:rsidRDefault="00FA248B" w:rsidP="00FA248B">
      <w:pPr>
        <w:pStyle w:val="Literatur"/>
        <w:rPr>
          <w:lang w:val="en-US"/>
        </w:rPr>
      </w:pPr>
      <w:r w:rsidRPr="00E64B06">
        <w:rPr>
          <w:lang w:val="en-US"/>
        </w:rPr>
        <w:t>[7] NEA, and OECD. 2019. “The Costs of Decarbonization: System Costs with High Shares of Nuclear and Renewables.” 7299. NEA. Paris: OECD.</w:t>
      </w:r>
    </w:p>
    <w:p w14:paraId="339AA210" w14:textId="61BBDB71" w:rsidR="00FA248B" w:rsidRPr="00E64B06" w:rsidRDefault="00FA248B" w:rsidP="00FA248B">
      <w:pPr>
        <w:pStyle w:val="Literatur"/>
        <w:rPr>
          <w:lang w:val="en-US"/>
        </w:rPr>
      </w:pPr>
      <w:r w:rsidRPr="00E64B06">
        <w:rPr>
          <w:lang w:val="en-US"/>
        </w:rPr>
        <w:t xml:space="preserve">[8] Roach, Martin, and Leonardo </w:t>
      </w:r>
      <w:proofErr w:type="spellStart"/>
      <w:r w:rsidRPr="00E64B06">
        <w:rPr>
          <w:lang w:val="en-US"/>
        </w:rPr>
        <w:t>Meeus</w:t>
      </w:r>
      <w:proofErr w:type="spellEnd"/>
      <w:r w:rsidRPr="00E64B06">
        <w:rPr>
          <w:lang w:val="en-US"/>
        </w:rPr>
        <w:t>. 2020. “The Welfare and Price Effects of Sector Coupling with Power-to-Gas.” Energy Economics 86 (February): 104708. https://doi.org/10.1016/j.eneco.2020.104708.</w:t>
      </w:r>
    </w:p>
    <w:p w14:paraId="4E4808DE" w14:textId="33D5CC61" w:rsidR="00FA248B" w:rsidRPr="00E64B06" w:rsidRDefault="00FA248B" w:rsidP="00FA248B">
      <w:pPr>
        <w:pStyle w:val="Literatur"/>
        <w:rPr>
          <w:lang w:val="en-US"/>
        </w:rPr>
      </w:pPr>
      <w:r w:rsidRPr="00E64B06">
        <w:rPr>
          <w:lang w:val="en-US"/>
        </w:rPr>
        <w:t xml:space="preserve">[9] </w:t>
      </w:r>
      <w:proofErr w:type="spellStart"/>
      <w:r w:rsidRPr="00E64B06">
        <w:rPr>
          <w:lang w:val="en-US"/>
        </w:rPr>
        <w:t>Ruhnau</w:t>
      </w:r>
      <w:proofErr w:type="spellEnd"/>
      <w:r w:rsidRPr="00E64B06">
        <w:rPr>
          <w:lang w:val="en-US"/>
        </w:rPr>
        <w:t xml:space="preserve">, Oliver. 2022. “How Flexible Electricity Demand Stabilizes Wind and Solar Market Values: The Case of Hydrogen </w:t>
      </w:r>
      <w:proofErr w:type="spellStart"/>
      <w:r w:rsidRPr="00E64B06">
        <w:rPr>
          <w:lang w:val="en-US"/>
        </w:rPr>
        <w:t>Electrolyzers</w:t>
      </w:r>
      <w:proofErr w:type="spellEnd"/>
      <w:r w:rsidRPr="00E64B06">
        <w:rPr>
          <w:lang w:val="en-US"/>
        </w:rPr>
        <w:t>.” Applied Energy 307 (February): 118194. https://doi.org/10.1016/j.apenergy.2021.118194.</w:t>
      </w:r>
    </w:p>
    <w:p w14:paraId="3C890A4F" w14:textId="2C0E757D" w:rsidR="00FA248B" w:rsidRPr="00E64B06" w:rsidRDefault="00FA248B" w:rsidP="00FA248B">
      <w:pPr>
        <w:pStyle w:val="Literatur"/>
        <w:rPr>
          <w:lang w:val="en-US"/>
        </w:rPr>
      </w:pPr>
      <w:r w:rsidRPr="00E64B06">
        <w:rPr>
          <w:lang w:val="en-US"/>
        </w:rPr>
        <w:t xml:space="preserve">[10] </w:t>
      </w:r>
      <w:proofErr w:type="spellStart"/>
      <w:r w:rsidRPr="00E64B06">
        <w:rPr>
          <w:lang w:val="en-US"/>
        </w:rPr>
        <w:t>Ruhnau</w:t>
      </w:r>
      <w:proofErr w:type="spellEnd"/>
      <w:r w:rsidRPr="00E64B06">
        <w:rPr>
          <w:lang w:val="en-US"/>
        </w:rPr>
        <w:t xml:space="preserve">, Oliver, and </w:t>
      </w:r>
      <w:proofErr w:type="spellStart"/>
      <w:r w:rsidRPr="00E64B06">
        <w:rPr>
          <w:lang w:val="en-US"/>
        </w:rPr>
        <w:t>Staffan</w:t>
      </w:r>
      <w:proofErr w:type="spellEnd"/>
      <w:r w:rsidRPr="00E64B06">
        <w:rPr>
          <w:lang w:val="en-US"/>
        </w:rPr>
        <w:t xml:space="preserve"> </w:t>
      </w:r>
      <w:proofErr w:type="spellStart"/>
      <w:r w:rsidRPr="00E64B06">
        <w:rPr>
          <w:lang w:val="en-US"/>
        </w:rPr>
        <w:t>Qvist</w:t>
      </w:r>
      <w:proofErr w:type="spellEnd"/>
      <w:r w:rsidRPr="00E64B06">
        <w:rPr>
          <w:lang w:val="en-US"/>
        </w:rPr>
        <w:t>. 2022. “Storage Requirements in a 100% Renewable Electricity System: Extreme Events and Inter-Annual Variability.” Environmental Research Letters 17 (4): 044018. https://doi.org/10.1088/1748-9326/ac4dc8.</w:t>
      </w:r>
    </w:p>
    <w:p w14:paraId="705D547C" w14:textId="41BE047E" w:rsidR="00FA248B" w:rsidRPr="00E64B06" w:rsidRDefault="00FA248B" w:rsidP="00FA248B">
      <w:pPr>
        <w:pStyle w:val="Literatur"/>
        <w:rPr>
          <w:lang w:val="en-US"/>
        </w:rPr>
      </w:pPr>
      <w:r w:rsidRPr="00E64B06">
        <w:rPr>
          <w:lang w:val="en-US"/>
        </w:rPr>
        <w:t xml:space="preserve">[11] Ruiz, P., W. </w:t>
      </w:r>
      <w:proofErr w:type="spellStart"/>
      <w:r w:rsidRPr="00E64B06">
        <w:rPr>
          <w:lang w:val="en-US"/>
        </w:rPr>
        <w:t>Nijs</w:t>
      </w:r>
      <w:proofErr w:type="spellEnd"/>
      <w:r w:rsidRPr="00E64B06">
        <w:rPr>
          <w:lang w:val="en-US"/>
        </w:rPr>
        <w:t xml:space="preserve">, D. </w:t>
      </w:r>
      <w:proofErr w:type="spellStart"/>
      <w:r w:rsidRPr="00E64B06">
        <w:rPr>
          <w:lang w:val="en-US"/>
        </w:rPr>
        <w:t>Tarvydas</w:t>
      </w:r>
      <w:proofErr w:type="spellEnd"/>
      <w:r w:rsidRPr="00E64B06">
        <w:rPr>
          <w:lang w:val="en-US"/>
        </w:rPr>
        <w:t xml:space="preserve">, A. </w:t>
      </w:r>
      <w:proofErr w:type="spellStart"/>
      <w:r w:rsidRPr="00E64B06">
        <w:rPr>
          <w:lang w:val="en-US"/>
        </w:rPr>
        <w:t>Sgobbi</w:t>
      </w:r>
      <w:proofErr w:type="spellEnd"/>
      <w:r w:rsidRPr="00E64B06">
        <w:rPr>
          <w:lang w:val="en-US"/>
        </w:rPr>
        <w:t>, A. Zucker, R. Pilli, R. Jonsson, et al. 2019. “ENSPRESO - an Open, EU-28 Wide, Transparent and Coherent Database of Wind, Solar and Biomass Energy Potentials.” Energy Strategy Reviews 26 (November): 100379. https://doi.org/10.1016/j.esr.2019.100379.</w:t>
      </w:r>
    </w:p>
    <w:p w14:paraId="477F0671" w14:textId="31BF2593" w:rsidR="00FA248B" w:rsidRPr="00E64B06" w:rsidRDefault="00FA248B" w:rsidP="00FA248B">
      <w:pPr>
        <w:pStyle w:val="Literatur"/>
        <w:rPr>
          <w:lang w:val="en-US"/>
        </w:rPr>
      </w:pPr>
      <w:r w:rsidRPr="00E64B06">
        <w:rPr>
          <w:lang w:val="en-US"/>
        </w:rPr>
        <w:t xml:space="preserve">[12] </w:t>
      </w:r>
      <w:proofErr w:type="spellStart"/>
      <w:r w:rsidRPr="00E64B06">
        <w:rPr>
          <w:lang w:val="en-US"/>
        </w:rPr>
        <w:t>Schill</w:t>
      </w:r>
      <w:proofErr w:type="spellEnd"/>
      <w:r w:rsidRPr="00E64B06">
        <w:rPr>
          <w:lang w:val="en-US"/>
        </w:rPr>
        <w:t>, Wolf-Peter. 2020. “Electricity Storage and the Renewable Energy Transition.” Joule 4 (10): 2059–64. https://doi.org/10.1016/j.joule.2020.07.022.</w:t>
      </w:r>
    </w:p>
    <w:p w14:paraId="6F26FE61" w14:textId="0D113D0A" w:rsidR="00FA248B" w:rsidRPr="00E64B06" w:rsidRDefault="00FA248B" w:rsidP="00FA248B">
      <w:pPr>
        <w:pStyle w:val="Literatur"/>
        <w:rPr>
          <w:lang w:val="en-US"/>
        </w:rPr>
      </w:pPr>
      <w:r w:rsidRPr="00E64B06">
        <w:rPr>
          <w:lang w:val="en-US"/>
        </w:rPr>
        <w:t xml:space="preserve">[13] </w:t>
      </w:r>
      <w:proofErr w:type="spellStart"/>
      <w:r w:rsidRPr="00E64B06">
        <w:rPr>
          <w:lang w:val="en-US"/>
        </w:rPr>
        <w:t>Vandewalle</w:t>
      </w:r>
      <w:proofErr w:type="spellEnd"/>
      <w:r w:rsidRPr="00E64B06">
        <w:rPr>
          <w:lang w:val="en-US"/>
        </w:rPr>
        <w:t xml:space="preserve">, J., K. </w:t>
      </w:r>
      <w:proofErr w:type="spellStart"/>
      <w:r w:rsidRPr="00E64B06">
        <w:rPr>
          <w:lang w:val="en-US"/>
        </w:rPr>
        <w:t>Bruninx</w:t>
      </w:r>
      <w:proofErr w:type="spellEnd"/>
      <w:r w:rsidRPr="00E64B06">
        <w:rPr>
          <w:lang w:val="en-US"/>
        </w:rPr>
        <w:t xml:space="preserve">, and W. </w:t>
      </w:r>
      <w:proofErr w:type="spellStart"/>
      <w:r w:rsidRPr="00E64B06">
        <w:rPr>
          <w:lang w:val="en-US"/>
        </w:rPr>
        <w:t>D’haeseleer</w:t>
      </w:r>
      <w:proofErr w:type="spellEnd"/>
      <w:r w:rsidRPr="00E64B06">
        <w:rPr>
          <w:lang w:val="en-US"/>
        </w:rPr>
        <w:t>. 2015. “Effects of Large-Scale Power to Gas Conversion on the Power, Gas and Carbon Sectors and Their Interactions.” Energy Conversion and Management 94 (April): 28–39. https://doi.org/10.1016/j.enconman.2015.01.038.</w:t>
      </w:r>
    </w:p>
    <w:p w14:paraId="24C120A5" w14:textId="275E50DF" w:rsidR="00564569" w:rsidRPr="00E64B06" w:rsidRDefault="00FA248B" w:rsidP="00227125">
      <w:pPr>
        <w:pStyle w:val="Literatur"/>
        <w:rPr>
          <w:lang w:val="en-US"/>
        </w:rPr>
      </w:pPr>
      <w:r w:rsidRPr="00E64B06">
        <w:rPr>
          <w:lang w:val="en-US"/>
        </w:rPr>
        <w:t xml:space="preserve">[14] </w:t>
      </w:r>
      <w:proofErr w:type="spellStart"/>
      <w:r w:rsidRPr="00E64B06">
        <w:rPr>
          <w:lang w:val="en-US"/>
        </w:rPr>
        <w:t>Zerrahn</w:t>
      </w:r>
      <w:proofErr w:type="spellEnd"/>
      <w:r w:rsidRPr="00E64B06">
        <w:rPr>
          <w:lang w:val="en-US"/>
        </w:rPr>
        <w:t xml:space="preserve">, Alexander, Wolf-Peter </w:t>
      </w:r>
      <w:proofErr w:type="spellStart"/>
      <w:r w:rsidRPr="00E64B06">
        <w:rPr>
          <w:lang w:val="en-US"/>
        </w:rPr>
        <w:t>Schill</w:t>
      </w:r>
      <w:proofErr w:type="spellEnd"/>
      <w:r w:rsidRPr="00E64B06">
        <w:rPr>
          <w:lang w:val="en-US"/>
        </w:rPr>
        <w:t xml:space="preserve">, and Claudia </w:t>
      </w:r>
      <w:proofErr w:type="spellStart"/>
      <w:r w:rsidRPr="00E64B06">
        <w:rPr>
          <w:lang w:val="en-US"/>
        </w:rPr>
        <w:t>Kemfert</w:t>
      </w:r>
      <w:proofErr w:type="spellEnd"/>
      <w:r w:rsidRPr="00E64B06">
        <w:rPr>
          <w:lang w:val="en-US"/>
        </w:rPr>
        <w:t>. 2018. “On the Economics of Electrical Storage for Variable Renewable Energy Sources.” European Economic Review 108: 259–79. https://doi.org/10.1016/j.euroecorev.2018.07.004.</w:t>
      </w:r>
    </w:p>
    <w:sectPr w:rsidR="00564569" w:rsidRPr="00E64B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711D" w14:textId="77777777" w:rsidR="00233AAB" w:rsidRDefault="00233AAB">
      <w:r>
        <w:separator/>
      </w:r>
    </w:p>
  </w:endnote>
  <w:endnote w:type="continuationSeparator" w:id="0">
    <w:p w14:paraId="4197C8DC" w14:textId="77777777" w:rsidR="00233AAB" w:rsidRDefault="0023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B8EF" w14:textId="77777777" w:rsidR="00233AAB" w:rsidRDefault="00233AAB">
      <w:r>
        <w:separator/>
      </w:r>
    </w:p>
  </w:footnote>
  <w:footnote w:type="continuationSeparator" w:id="0">
    <w:p w14:paraId="11A03F28" w14:textId="77777777" w:rsidR="00233AAB" w:rsidRDefault="00233AAB">
      <w:r>
        <w:continuationSeparator/>
      </w:r>
    </w:p>
  </w:footnote>
  <w:footnote w:id="1">
    <w:p w14:paraId="6C8DFBFC" w14:textId="706D93B5" w:rsidR="005F31BD" w:rsidRDefault="00D53E86" w:rsidP="002014D3">
      <w:r w:rsidRPr="00A115D2">
        <w:rPr>
          <w:rStyle w:val="Funotenzeichen"/>
        </w:rPr>
        <w:footnoteRef/>
      </w:r>
      <w:r w:rsidR="005F31BD">
        <w:t xml:space="preserve"> </w:t>
      </w:r>
      <w:proofErr w:type="spellStart"/>
      <w:proofErr w:type="gramStart"/>
      <w:r w:rsidR="005F31BD">
        <w:t>Jungautor:innen</w:t>
      </w:r>
      <w:proofErr w:type="spellEnd"/>
      <w:proofErr w:type="gramEnd"/>
      <w:r w:rsidR="005F31BD">
        <w:t xml:space="preserve"> – </w:t>
      </w:r>
      <w:r w:rsidR="005F31BD" w:rsidRPr="005F31BD">
        <w:t>Kottbusser Damm 25/26, 10967 Berlin, Germany</w:t>
      </w:r>
      <w:r w:rsidR="005F31BD">
        <w:t xml:space="preserve">, </w:t>
      </w:r>
      <w:hyperlink r:id="rId1" w:history="1">
        <w:r w:rsidR="005F31BD" w:rsidRPr="00F16F7A">
          <w:rPr>
            <w:rStyle w:val="Hyperlink"/>
          </w:rPr>
          <w:t>anne.geschke@auroraer.com</w:t>
        </w:r>
      </w:hyperlink>
      <w:r w:rsidR="005F31BD">
        <w:t xml:space="preserve"> </w:t>
      </w:r>
    </w:p>
    <w:p w14:paraId="1DD27DBA" w14:textId="220C52B5" w:rsidR="00D53E86" w:rsidRPr="00FB69AE" w:rsidRDefault="005F31BD" w:rsidP="002014D3">
      <w:r>
        <w:rPr>
          <w:rStyle w:val="Funotenzeichen"/>
        </w:rPr>
        <w:t>2</w:t>
      </w:r>
      <w:r>
        <w:t xml:space="preserve"> </w:t>
      </w:r>
      <w:proofErr w:type="spellStart"/>
      <w:r>
        <w:t>Parkstrasse</w:t>
      </w:r>
      <w:proofErr w:type="spellEnd"/>
      <w:r>
        <w:t xml:space="preserve"> 23, CH-5401 Baden, </w:t>
      </w:r>
      <w:proofErr w:type="spellStart"/>
      <w:r>
        <w:t>Switzer</w:t>
      </w:r>
      <w:r w:rsidR="004508FF">
        <w:t>l</w:t>
      </w:r>
      <w:r>
        <w:t>and</w:t>
      </w:r>
      <w:proofErr w:type="spellEnd"/>
      <w:r>
        <w:t xml:space="preserve">, </w:t>
      </w:r>
      <w:hyperlink r:id="rId2" w:history="1">
        <w:r w:rsidRPr="00F16F7A">
          <w:rPr>
            <w:rStyle w:val="Hyperlink"/>
          </w:rPr>
          <w:t>claus.huber@axpo.com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1458F"/>
    <w:multiLevelType w:val="hybridMultilevel"/>
    <w:tmpl w:val="73E8FCA0"/>
    <w:lvl w:ilvl="0" w:tplc="A5BE0B30">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4F"/>
    <w:rsid w:val="00010E92"/>
    <w:rsid w:val="0002629F"/>
    <w:rsid w:val="001322E9"/>
    <w:rsid w:val="0014004A"/>
    <w:rsid w:val="002014D3"/>
    <w:rsid w:val="00227125"/>
    <w:rsid w:val="00231E77"/>
    <w:rsid w:val="00233AAB"/>
    <w:rsid w:val="00262FD5"/>
    <w:rsid w:val="002946B8"/>
    <w:rsid w:val="002A7E6A"/>
    <w:rsid w:val="002F5FF9"/>
    <w:rsid w:val="00335E63"/>
    <w:rsid w:val="00350F98"/>
    <w:rsid w:val="003626F6"/>
    <w:rsid w:val="00372D53"/>
    <w:rsid w:val="003B3F7C"/>
    <w:rsid w:val="003B676F"/>
    <w:rsid w:val="003C28FE"/>
    <w:rsid w:val="004508FF"/>
    <w:rsid w:val="00483B87"/>
    <w:rsid w:val="004C7813"/>
    <w:rsid w:val="00564569"/>
    <w:rsid w:val="005B1ADB"/>
    <w:rsid w:val="005B1E59"/>
    <w:rsid w:val="005E4D4F"/>
    <w:rsid w:val="005F31BD"/>
    <w:rsid w:val="0062542D"/>
    <w:rsid w:val="00680D0D"/>
    <w:rsid w:val="006B11DD"/>
    <w:rsid w:val="007267D2"/>
    <w:rsid w:val="007378C8"/>
    <w:rsid w:val="00741EC0"/>
    <w:rsid w:val="00803917"/>
    <w:rsid w:val="00874D73"/>
    <w:rsid w:val="009410D4"/>
    <w:rsid w:val="00993686"/>
    <w:rsid w:val="00A07737"/>
    <w:rsid w:val="00A156E4"/>
    <w:rsid w:val="00A6148D"/>
    <w:rsid w:val="00A63BE3"/>
    <w:rsid w:val="00B60C6B"/>
    <w:rsid w:val="00BF05FA"/>
    <w:rsid w:val="00CE1A70"/>
    <w:rsid w:val="00D53E86"/>
    <w:rsid w:val="00D736F8"/>
    <w:rsid w:val="00E520E6"/>
    <w:rsid w:val="00E64B06"/>
    <w:rsid w:val="00EF7256"/>
    <w:rsid w:val="00FA248B"/>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Endnotentext">
    <w:name w:val="endnote text"/>
    <w:basedOn w:val="Standard"/>
    <w:link w:val="EndnotentextZchn"/>
    <w:uiPriority w:val="99"/>
    <w:semiHidden/>
    <w:unhideWhenUsed/>
    <w:rsid w:val="005F31BD"/>
    <w:rPr>
      <w:szCs w:val="20"/>
    </w:rPr>
  </w:style>
  <w:style w:type="character" w:customStyle="1" w:styleId="EndnotentextZchn">
    <w:name w:val="Endnotentext Zchn"/>
    <w:basedOn w:val="Absatz-Standardschriftart"/>
    <w:link w:val="Endnotentext"/>
    <w:uiPriority w:val="99"/>
    <w:semiHidden/>
    <w:rsid w:val="005F31BD"/>
    <w:rPr>
      <w:rFonts w:ascii="Arial" w:hAnsi="Arial"/>
      <w:lang w:val="de-DE" w:eastAsia="ko-KR"/>
    </w:rPr>
  </w:style>
  <w:style w:type="character" w:styleId="Endnotenzeichen">
    <w:name w:val="endnote reference"/>
    <w:basedOn w:val="Absatz-Standardschriftart"/>
    <w:uiPriority w:val="99"/>
    <w:semiHidden/>
    <w:unhideWhenUsed/>
    <w:rsid w:val="005F31BD"/>
    <w:rPr>
      <w:vertAlign w:val="superscript"/>
    </w:rPr>
  </w:style>
  <w:style w:type="character" w:styleId="Hyperlink">
    <w:name w:val="Hyperlink"/>
    <w:basedOn w:val="Absatz-Standardschriftart"/>
    <w:uiPriority w:val="99"/>
    <w:unhideWhenUsed/>
    <w:rsid w:val="005F31BD"/>
    <w:rPr>
      <w:color w:val="0563C1" w:themeColor="hyperlink"/>
      <w:u w:val="single"/>
    </w:rPr>
  </w:style>
  <w:style w:type="character" w:styleId="NichtaufgelsteErwhnung">
    <w:name w:val="Unresolved Mention"/>
    <w:basedOn w:val="Absatz-Standardschriftart"/>
    <w:uiPriority w:val="99"/>
    <w:semiHidden/>
    <w:unhideWhenUsed/>
    <w:rsid w:val="005F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claus.huber@axpo.com" TargetMode="External"/><Relationship Id="rId1" Type="http://schemas.openxmlformats.org/officeDocument/2006/relationships/hyperlink" Target="mailto:anne.geschke@auror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4B39-084F-4DD7-A8AA-3D7167B2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6150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Huber Claus MEE</cp:lastModifiedBy>
  <cp:revision>2</cp:revision>
  <dcterms:created xsi:type="dcterms:W3CDTF">2022-11-21T06:33:00Z</dcterms:created>
  <dcterms:modified xsi:type="dcterms:W3CDTF">2022-11-21T06:33:00Z</dcterms:modified>
</cp:coreProperties>
</file>