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6CA4F77E" w:rsidR="005E4D4F" w:rsidRPr="009D66CF" w:rsidRDefault="009D66CF" w:rsidP="005E4D4F">
      <w:pPr>
        <w:pStyle w:val="Abstract-Titel"/>
        <w:rPr>
          <w:lang w:val="en-US"/>
        </w:rPr>
      </w:pPr>
      <w:r w:rsidRPr="009D66CF">
        <w:rPr>
          <w:lang w:val="en-US"/>
        </w:rPr>
        <w:t>Cumulated CO</w:t>
      </w:r>
      <w:r w:rsidRPr="009D66CF">
        <w:rPr>
          <w:vertAlign w:val="subscript"/>
          <w:lang w:val="en-US"/>
        </w:rPr>
        <w:t>2</w:t>
      </w:r>
      <w:r w:rsidRPr="009D66CF">
        <w:rPr>
          <w:lang w:val="en-US"/>
        </w:rPr>
        <w:t xml:space="preserve"> </w:t>
      </w:r>
      <w:r>
        <w:rPr>
          <w:lang w:val="en-US"/>
        </w:rPr>
        <w:t>emissions as metrics for speeding up buildings’ retrofitting</w:t>
      </w:r>
    </w:p>
    <w:p w14:paraId="50A5F9DE" w14:textId="69422B74" w:rsidR="009D66CF" w:rsidRDefault="009D66CF" w:rsidP="00A156E4">
      <w:pPr>
        <w:pStyle w:val="AutorenOrganisation"/>
        <w:rPr>
          <w:lang w:val="de-DE"/>
        </w:rPr>
      </w:pPr>
      <w:r w:rsidRPr="009D66CF">
        <w:rPr>
          <w:lang w:val="de-DE"/>
        </w:rPr>
        <w:t>Gebäudesektor</w:t>
      </w:r>
    </w:p>
    <w:p w14:paraId="0AEFEF48" w14:textId="147644B0" w:rsidR="005E4D4F" w:rsidRPr="009D66CF" w:rsidRDefault="009D66CF" w:rsidP="00A156E4">
      <w:pPr>
        <w:pStyle w:val="AutorenOrganisation"/>
      </w:pPr>
      <w:r>
        <w:t>Iná</w:t>
      </w:r>
      <w:r w:rsidR="005E4D4F" w:rsidRPr="005E4D4F">
        <w:t xml:space="preserve"> </w:t>
      </w:r>
      <w:r>
        <w:t>MAIA</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 xml:space="preserve">Lukas </w:t>
      </w:r>
      <w:proofErr w:type="gramStart"/>
      <w:r>
        <w:t>KRANZL</w:t>
      </w:r>
      <w:r w:rsidRPr="00A156E4">
        <w:rPr>
          <w:vertAlign w:val="superscript"/>
        </w:rPr>
        <w:t>(</w:t>
      </w:r>
      <w:proofErr w:type="gramEnd"/>
      <w:r w:rsidRPr="00A156E4">
        <w:rPr>
          <w:vertAlign w:val="superscript"/>
        </w:rPr>
        <w:t>1</w:t>
      </w:r>
      <w:r>
        <w:rPr>
          <w:vertAlign w:val="superscript"/>
        </w:rPr>
        <w:t>)</w:t>
      </w:r>
      <w:r w:rsidRPr="005E4D4F">
        <w:t xml:space="preserve">, </w:t>
      </w:r>
      <w:r>
        <w:t xml:space="preserve"> Andreas MÜLLER</w:t>
      </w:r>
      <w:r w:rsidR="00A156E4" w:rsidRPr="00A156E4">
        <w:rPr>
          <w:vertAlign w:val="superscript"/>
        </w:rPr>
        <w:t>(</w:t>
      </w:r>
      <w:r w:rsidR="00010E92">
        <w:rPr>
          <w:vertAlign w:val="superscript"/>
        </w:rPr>
        <w:t>2</w:t>
      </w:r>
      <w:r w:rsidR="00A156E4">
        <w:rPr>
          <w:vertAlign w:val="superscript"/>
        </w:rPr>
        <w:t>)</w:t>
      </w:r>
      <w:r>
        <w:t>,Daniel HARRINGER</w:t>
      </w:r>
      <w:r w:rsidRPr="00A156E4">
        <w:rPr>
          <w:vertAlign w:val="superscript"/>
        </w:rPr>
        <w:t>(1</w:t>
      </w:r>
      <w:r>
        <w:rPr>
          <w:vertAlign w:val="superscript"/>
        </w:rPr>
        <w:t>)</w:t>
      </w:r>
    </w:p>
    <w:p w14:paraId="31BB6490" w14:textId="7845F13D"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9D66CF">
        <w:t>EEG</w:t>
      </w:r>
      <w:proofErr w:type="gramEnd"/>
      <w:r w:rsidR="009D66CF">
        <w:t xml:space="preserve"> – TU Wien</w:t>
      </w:r>
      <w:r w:rsidR="00010E92">
        <w:t xml:space="preserve">, </w:t>
      </w:r>
      <w:r w:rsidRPr="00A156E4">
        <w:rPr>
          <w:vertAlign w:val="superscript"/>
        </w:rPr>
        <w:t>(</w:t>
      </w:r>
      <w:r w:rsidR="00010E92" w:rsidRPr="00010E92">
        <w:rPr>
          <w:vertAlign w:val="superscript"/>
        </w:rPr>
        <w:t>2</w:t>
      </w:r>
      <w:r>
        <w:rPr>
          <w:vertAlign w:val="superscript"/>
        </w:rPr>
        <w:t>)</w:t>
      </w:r>
      <w:r w:rsidR="009D66CF">
        <w:t>e-</w:t>
      </w:r>
      <w:proofErr w:type="spellStart"/>
      <w:r w:rsidR="009D66CF">
        <w:t>think</w:t>
      </w:r>
      <w:proofErr w:type="spellEnd"/>
    </w:p>
    <w:p w14:paraId="7D0DC61F" w14:textId="77777777" w:rsidR="00A07737" w:rsidRPr="005E4D4F" w:rsidRDefault="00A07737" w:rsidP="00FB69AE">
      <w:pPr>
        <w:rPr>
          <w:lang w:val="de-AT"/>
        </w:rPr>
      </w:pPr>
    </w:p>
    <w:p w14:paraId="14767CFD" w14:textId="2F319CA9" w:rsidR="005E4D4F" w:rsidRPr="000E224B" w:rsidRDefault="005E4D4F" w:rsidP="005E4D4F">
      <w:pPr>
        <w:pStyle w:val="Ueberschrift"/>
        <w:rPr>
          <w:lang w:val="en-US"/>
        </w:rPr>
      </w:pPr>
      <w:r w:rsidRPr="000E224B">
        <w:rPr>
          <w:lang w:val="en-US"/>
        </w:rPr>
        <w:t>Motivation</w:t>
      </w:r>
    </w:p>
    <w:p w14:paraId="041A4D9D" w14:textId="70A0D268" w:rsidR="005E4D4F" w:rsidRPr="00247E3C" w:rsidRDefault="00247E3C" w:rsidP="00227125">
      <w:pPr>
        <w:rPr>
          <w:lang w:val="en-US"/>
        </w:rPr>
      </w:pPr>
      <w:r w:rsidRPr="00247E3C">
        <w:rPr>
          <w:lang w:val="en-US"/>
        </w:rPr>
        <w:t xml:space="preserve">Due to the seriousness of the current energy prices and energy security situation and the urgent need of building stock </w:t>
      </w:r>
      <w:proofErr w:type="spellStart"/>
      <w:r w:rsidRPr="00247E3C">
        <w:rPr>
          <w:lang w:val="en-US"/>
        </w:rPr>
        <w:t>decarbonisation</w:t>
      </w:r>
      <w:proofErr w:type="spellEnd"/>
      <w:r w:rsidRPr="00247E3C">
        <w:rPr>
          <w:lang w:val="en-US"/>
        </w:rPr>
        <w:t xml:space="preserve">, we aim at </w:t>
      </w:r>
      <w:proofErr w:type="spellStart"/>
      <w:r w:rsidRPr="00247E3C">
        <w:rPr>
          <w:lang w:val="en-US"/>
        </w:rPr>
        <w:t>analysing</w:t>
      </w:r>
      <w:proofErr w:type="spellEnd"/>
      <w:r w:rsidRPr="00247E3C">
        <w:rPr>
          <w:lang w:val="en-US"/>
        </w:rPr>
        <w:t xml:space="preserve"> different aspects of accelerating the building stock </w:t>
      </w:r>
      <w:proofErr w:type="spellStart"/>
      <w:r w:rsidRPr="00247E3C">
        <w:rPr>
          <w:lang w:val="en-US"/>
        </w:rPr>
        <w:t>decarbonisation</w:t>
      </w:r>
      <w:proofErr w:type="spellEnd"/>
      <w:r w:rsidRPr="00247E3C">
        <w:rPr>
          <w:lang w:val="en-US"/>
        </w:rPr>
        <w:t>: on one hand the effect of energy prices on the viability of different renovation measures, and on the other hand the difference of single stage versus staged building renovation.</w:t>
      </w:r>
      <w:r>
        <w:rPr>
          <w:lang w:val="en-US"/>
        </w:rPr>
        <w:t xml:space="preserve"> </w:t>
      </w:r>
      <w:r w:rsidRPr="00247E3C">
        <w:rPr>
          <w:lang w:val="en-US"/>
        </w:rPr>
        <w:t xml:space="preserve">In this context, we also suggest the use of an indicator to take into consideration the time perspective, </w:t>
      </w:r>
      <w:proofErr w:type="gramStart"/>
      <w:r w:rsidRPr="00247E3C">
        <w:rPr>
          <w:lang w:val="en-US"/>
        </w:rPr>
        <w:t>i.e.</w:t>
      </w:r>
      <w:proofErr w:type="gramEnd"/>
      <w:r w:rsidRPr="00247E3C">
        <w:rPr>
          <w:lang w:val="en-US"/>
        </w:rPr>
        <w:t xml:space="preserve"> the timing of renovation measures and the resulting demand over time.</w:t>
      </w:r>
      <w:r>
        <w:rPr>
          <w:lang w:val="en-US"/>
        </w:rPr>
        <w:t xml:space="preserve"> </w:t>
      </w:r>
      <w:r w:rsidRPr="00247E3C">
        <w:rPr>
          <w:lang w:val="en-US"/>
        </w:rPr>
        <w:t xml:space="preserve">Therefore, in the current case study we introduce the cumulated primary energy demand over the whole period until 2050 (based on EU’s </w:t>
      </w:r>
      <w:proofErr w:type="spellStart"/>
      <w:r w:rsidRPr="00247E3C">
        <w:rPr>
          <w:lang w:val="en-US"/>
        </w:rPr>
        <w:t>decarbonisation</w:t>
      </w:r>
      <w:proofErr w:type="spellEnd"/>
      <w:r w:rsidRPr="00247E3C">
        <w:rPr>
          <w:lang w:val="en-US"/>
        </w:rPr>
        <w:t xml:space="preserve"> target</w:t>
      </w:r>
      <w:r w:rsidR="0078594A">
        <w:rPr>
          <w:lang w:val="en-US"/>
        </w:rPr>
        <w:t xml:space="preserve"> </w:t>
      </w:r>
      <w:r w:rsidR="0078594A">
        <w:rPr>
          <w:lang w:val="en-US"/>
        </w:rPr>
        <w:fldChar w:fldCharType="begin" w:fldLock="1"/>
      </w:r>
      <w:r w:rsidR="0078594A">
        <w:rPr>
          <w:lang w:val="en-US"/>
        </w:rPr>
        <w:instrText>ADDIN CSL_CITATION {"citationItems":[{"id":"ITEM-1","itemData":{"author":[{"dropping-particle":"","family":"European Commission","given":"","non-dropping-particle":"","parse-names":false,"suffix":""}],"id":"ITEM-1","issued":{"date-parts":[["2020","10","29"]]},"title":"A Renovation Wave for Europe - greening our buildings, creating jobs, improving lives","type":"article"},"uris":["http://www.mendeley.com/documents/?uuid=1ef1b89f-d342-4422-867f-6f40d61cfb93"]}],"mendeley":{"formattedCitation":"[1]","plainTextFormattedCitation":"[1]","previouslyFormattedCitation":"[1]"},"properties":{"noteIndex":0},"schema":"https://github.com/citation-style-language/schema/raw/master/csl-citation.json"}</w:instrText>
      </w:r>
      <w:r w:rsidR="0078594A">
        <w:rPr>
          <w:lang w:val="en-US"/>
        </w:rPr>
        <w:fldChar w:fldCharType="separate"/>
      </w:r>
      <w:r w:rsidR="0078594A" w:rsidRPr="0078594A">
        <w:rPr>
          <w:noProof/>
          <w:lang w:val="en-US"/>
        </w:rPr>
        <w:t>[1]</w:t>
      </w:r>
      <w:r w:rsidR="0078594A">
        <w:rPr>
          <w:lang w:val="en-US"/>
        </w:rPr>
        <w:fldChar w:fldCharType="end"/>
      </w:r>
      <w:r w:rsidRPr="00247E3C">
        <w:rPr>
          <w:lang w:val="en-US"/>
        </w:rPr>
        <w:t>) as an indicator for assessing the energy demand of a building over a certain period of time.</w:t>
      </w:r>
      <w:r w:rsidR="00226F27">
        <w:rPr>
          <w:lang w:val="en-US"/>
        </w:rPr>
        <w:t xml:space="preserve"> This work is part of the case study researched during the EU H2020 Project ENEFIRST.</w:t>
      </w:r>
    </w:p>
    <w:p w14:paraId="00203371" w14:textId="7DF702AE" w:rsidR="005E4D4F" w:rsidRPr="00247E3C" w:rsidRDefault="005E4D4F" w:rsidP="005E4D4F">
      <w:pPr>
        <w:pStyle w:val="Ueberschrift"/>
        <w:rPr>
          <w:lang w:val="en-US"/>
        </w:rPr>
      </w:pPr>
      <w:r w:rsidRPr="00247E3C">
        <w:rPr>
          <w:lang w:val="en-US"/>
        </w:rPr>
        <w:t>Method</w:t>
      </w:r>
    </w:p>
    <w:p w14:paraId="449B4BD7" w14:textId="246534FA" w:rsidR="005E4D4F" w:rsidRDefault="005B1672" w:rsidP="00227125">
      <w:pPr>
        <w:rPr>
          <w:lang w:val="en-US"/>
        </w:rPr>
      </w:pPr>
      <w:r w:rsidRPr="005B1672">
        <w:rPr>
          <w:lang w:val="en-US"/>
        </w:rPr>
        <w:t>We start with a definition of reference buildings and possible, suitable renovation measures with different energy efficiency standards (step 1). Subsequently, we define different packages of renovation measures and then allocate them in staged renovation steps (step 2). Investment costs and energy demand (step 3) are calculated for each building roadmap, using the cost-optimality method (as defined in the EPBD – Energy Performance of Buildings Directive</w:t>
      </w:r>
      <w:r w:rsidR="0078594A">
        <w:rPr>
          <w:lang w:val="en-US"/>
        </w:rPr>
        <w:fldChar w:fldCharType="begin" w:fldLock="1"/>
      </w:r>
      <w:r w:rsidR="0078594A">
        <w:rPr>
          <w:lang w:val="en-US"/>
        </w:rPr>
        <w:instrText>ADDIN CSL_CITATION {"citationItems":[{"id":"ITEM-1","itemData":{"author":[{"dropping-particle":"","family":"European Parliament","given":"","non-dropping-particle":"","parse-names":false,"suffix":""}],"collection-title":"CONSIL, EP","container-title":"156","id":"ITEM-1","issued":{"date-parts":[["2018","2","25"]]},"language":"en","title":"Directive (EU) 2018/844 of the European Parliament and of the Council of 30 May 2018 amending Directive 2010/31/EU on the energy performance of buildings and Directive 2012/27/EU on energy efficiency (Text with EEA relevance)","type":"bill","volume":"OJ L"},"uris":["http://www.mendeley.com/documents/?uuid=a076856d-de2e-4ccc-b5db-75e71f730b13"]}],"mendeley":{"formattedCitation":"[2]","plainTextFormattedCitation":"[2]"},"properties":{"noteIndex":0},"schema":"https://github.com/citation-style-language/schema/raw/master/csl-citation.json"}</w:instrText>
      </w:r>
      <w:r w:rsidR="0078594A">
        <w:rPr>
          <w:lang w:val="en-US"/>
        </w:rPr>
        <w:fldChar w:fldCharType="separate"/>
      </w:r>
      <w:r w:rsidR="0078594A" w:rsidRPr="0078594A">
        <w:rPr>
          <w:noProof/>
          <w:lang w:val="en-US"/>
        </w:rPr>
        <w:t>[2]</w:t>
      </w:r>
      <w:r w:rsidR="0078594A">
        <w:rPr>
          <w:lang w:val="en-US"/>
        </w:rPr>
        <w:fldChar w:fldCharType="end"/>
      </w:r>
      <w:r w:rsidRPr="005B1672">
        <w:rPr>
          <w:lang w:val="en-US"/>
        </w:rPr>
        <w:t>). Following a net-present value maximization algorithm</w:t>
      </w:r>
      <w:r w:rsidR="00FD289C">
        <w:rPr>
          <w:lang w:val="en-US"/>
        </w:rPr>
        <w:fldChar w:fldCharType="begin" w:fldLock="1"/>
      </w:r>
      <w:r w:rsidR="0078594A">
        <w:rPr>
          <w:lang w:val="en-US"/>
        </w:rPr>
        <w:instrText>ADDIN CSL_CITATION {"citationItems":[{"id":"ITEM-1","itemData":{"DOI":"10.1016/j.apenergy.2021.116714","ISSN":"0306-2619","abstract":"Although the Energy Performance of Buildings Directive 2018/844/EU introduced the building renovation passport and by such proposed to consider step-by-step renovation, a literature review could not identify any explicit step-by-step retrofitting optimisation model. Therefore, the present study seeks to explore the following research questions: which indications regarding the optimum timing of renovation steps can a net present value maximising model deliver; how are model’s results impacted by the interdependency of renovation steps and by homeowner’s budget restrictions. The model relies on three pillars: homeowners’ budget restrictions; building material ageing processes; and interdependency between the retrofitting steps. Implemented as a mixed-integer linear program, it maximises the net present value of households’ energy-related cash flows, and delivers the optimum timing when each step should be performed. As input data, five real-life building renovation roadmaps were used. The appropriate metric to assess building’s retrofitting energy savings is also discussed. When comparing both single-step and step-by-step approaches, the step-by-step presented 11–22% higher cumulated energy savings. Results also show that a renovation period would last between 1 and 14 years and 2 to 11 years, depending on whether interdependency of measures is considered. This has direct implications on the improvement of building stocks’ energy efficiency, and consequently, the achievement of decarbonisation targets set for 2050. In this context, the model delivers a more concrete time horizon perspective in regards to the achievement of these targets. Future work will include quantifying the economic effects of interdependency of steps and expanding the analysis for varies techno-economic building typologies.","author":[{"dropping-particle":"","family":"Maia","given":"Iná","non-dropping-particle":"","parse-names":false,"suffix":""},{"dropping-particle":"","family":"Kranzl","given":"Lukas","non-dropping-particle":"","parse-names":false,"suffix":""},{"dropping-particle":"","family":"Müller","given":"Andreas","non-dropping-particle":"","parse-names":false,"suffix":""}],"container-title":"Applied Energy","id":"ITEM-1","issued":{"date-parts":[["2021","8","17"]]},"language":"en","page":"116714","title":"New step-by-step retrofitting model for delivering optimum timing","type":"article-journal","volume":"290"},"uris":["http://www.mendeley.com/documents/?uuid=d7ca13ab-9a53-4bef-9b25-39833b05e2c8"]}],"mendeley":{"formattedCitation":"[3]","plainTextFormattedCitation":"[3]","previouslyFormattedCitation":"[2]"},"properties":{"noteIndex":0},"schema":"https://github.com/citation-style-language/schema/raw/master/csl-citation.json"}</w:instrText>
      </w:r>
      <w:r w:rsidR="00FD289C">
        <w:rPr>
          <w:lang w:val="en-US"/>
        </w:rPr>
        <w:fldChar w:fldCharType="separate"/>
      </w:r>
      <w:r w:rsidR="0078594A" w:rsidRPr="0078594A">
        <w:rPr>
          <w:noProof/>
          <w:lang w:val="en-US"/>
        </w:rPr>
        <w:t>[3]</w:t>
      </w:r>
      <w:r w:rsidR="00FD289C">
        <w:rPr>
          <w:lang w:val="en-US"/>
        </w:rPr>
        <w:fldChar w:fldCharType="end"/>
      </w:r>
      <w:r w:rsidRPr="005B1672">
        <w:rPr>
          <w:lang w:val="en-US"/>
        </w:rPr>
        <w:t>, in step 4 we determine the optimal timing of renovation steps, before finally identifying the cumulated primary energy demand and global costs of staged renovation processes (step 5).</w:t>
      </w:r>
    </w:p>
    <w:p w14:paraId="68041740" w14:textId="7FFCE4A9" w:rsidR="005B1672" w:rsidRPr="005B1672" w:rsidRDefault="005B1672" w:rsidP="00227125">
      <w:pPr>
        <w:rPr>
          <w:lang w:val="en-US"/>
        </w:rPr>
      </w:pPr>
      <w:r w:rsidRPr="00370C4A">
        <w:rPr>
          <w:rFonts w:asciiTheme="majorHAnsi" w:eastAsiaTheme="majorEastAsia" w:hAnsiTheme="majorHAnsi" w:cstheme="majorBidi"/>
          <w:noProof/>
          <w:color w:val="2F5496" w:themeColor="accent1" w:themeShade="BF"/>
          <w:sz w:val="32"/>
          <w:szCs w:val="32"/>
          <w:lang w:val="en-US"/>
        </w:rPr>
        <w:drawing>
          <wp:inline distT="0" distB="0" distL="0" distR="0" wp14:anchorId="23DD359C" wp14:editId="785E7237">
            <wp:extent cx="5638800" cy="32613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261360"/>
                    </a:xfrm>
                    <a:prstGeom prst="rect">
                      <a:avLst/>
                    </a:prstGeom>
                    <a:noFill/>
                    <a:ln>
                      <a:noFill/>
                    </a:ln>
                  </pic:spPr>
                </pic:pic>
              </a:graphicData>
            </a:graphic>
          </wp:inline>
        </w:drawing>
      </w:r>
    </w:p>
    <w:p w14:paraId="14B95358" w14:textId="3E38BAF4" w:rsidR="005E4D4F" w:rsidRPr="00FD289C" w:rsidRDefault="00226F27" w:rsidP="005E4D4F">
      <w:pPr>
        <w:pStyle w:val="Ueberschrift"/>
        <w:rPr>
          <w:lang w:val="en-US"/>
        </w:rPr>
      </w:pPr>
      <w:r w:rsidRPr="00FD289C">
        <w:rPr>
          <w:lang w:val="en-US"/>
        </w:rPr>
        <w:t>Results</w:t>
      </w:r>
    </w:p>
    <w:p w14:paraId="412787BA" w14:textId="5EAD13E7" w:rsidR="000E224B" w:rsidRDefault="000E224B" w:rsidP="000E224B">
      <w:pPr>
        <w:rPr>
          <w:lang w:val="en-US"/>
        </w:rPr>
      </w:pPr>
      <w:r w:rsidRPr="000E224B">
        <w:rPr>
          <w:lang w:val="en-US"/>
        </w:rPr>
        <w:t xml:space="preserve">In general, between the different combinations of measures the primary energy demand difference is 11 kWh/m² (between 49 to 38 kWh/m²) and specific global costs difference of 51 €/m² between (605 and 554 €/m²). The external wall insulation has higher impacts on the primary energy demand. The change in the energy price affects the specific global costs but not the primary energy demand (when </w:t>
      </w:r>
      <w:r w:rsidRPr="000E224B">
        <w:rPr>
          <w:lang w:val="en-US"/>
        </w:rPr>
        <w:lastRenderedPageBreak/>
        <w:t xml:space="preserve">maintaining the same heating system replacement option). The graph also shows that the results are affected by a clear pattern related to the difference in external wall insulation (10, 15 and 20 cm). </w:t>
      </w:r>
    </w:p>
    <w:p w14:paraId="193E23B2" w14:textId="7FEC1DBB" w:rsidR="000E224B" w:rsidRPr="000E224B" w:rsidRDefault="000E224B" w:rsidP="000E224B">
      <w:pPr>
        <w:rPr>
          <w:lang w:val="en-US"/>
        </w:rPr>
      </w:pPr>
      <w:r>
        <w:rPr>
          <w:rFonts w:asciiTheme="majorHAnsi" w:eastAsiaTheme="majorEastAsia" w:hAnsiTheme="majorHAnsi" w:cstheme="majorBidi"/>
          <w:noProof/>
          <w:color w:val="2F5496" w:themeColor="accent1" w:themeShade="BF"/>
          <w:sz w:val="32"/>
          <w:szCs w:val="32"/>
          <w:lang w:val="en-US" w:eastAsia="en-US"/>
        </w:rPr>
        <w:drawing>
          <wp:inline distT="0" distB="0" distL="0" distR="0" wp14:anchorId="203D865F" wp14:editId="7358B2AA">
            <wp:extent cx="4495800" cy="2316480"/>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316480"/>
                    </a:xfrm>
                    <a:prstGeom prst="rect">
                      <a:avLst/>
                    </a:prstGeom>
                    <a:noFill/>
                    <a:ln>
                      <a:noFill/>
                    </a:ln>
                  </pic:spPr>
                </pic:pic>
              </a:graphicData>
            </a:graphic>
          </wp:inline>
        </w:drawing>
      </w:r>
    </w:p>
    <w:p w14:paraId="248EC755" w14:textId="77777777" w:rsidR="000E224B" w:rsidRPr="000E224B" w:rsidRDefault="000E224B" w:rsidP="000E224B">
      <w:pPr>
        <w:rPr>
          <w:lang w:val="en-US"/>
        </w:rPr>
      </w:pPr>
      <w:r w:rsidRPr="000E224B">
        <w:rPr>
          <w:lang w:val="en-US"/>
        </w:rPr>
        <w:t xml:space="preserve">  </w:t>
      </w:r>
    </w:p>
    <w:p w14:paraId="24BF2173" w14:textId="01D2813D" w:rsidR="005E4D4F" w:rsidRDefault="000E224B" w:rsidP="000E224B">
      <w:pPr>
        <w:rPr>
          <w:lang w:val="en-US"/>
        </w:rPr>
      </w:pPr>
      <w:r w:rsidRPr="000E224B">
        <w:rPr>
          <w:lang w:val="en-US"/>
        </w:rPr>
        <w:t xml:space="preserve">Figure </w:t>
      </w:r>
      <w:r w:rsidR="00FD289C">
        <w:rPr>
          <w:lang w:val="en-US"/>
        </w:rPr>
        <w:t>1</w:t>
      </w:r>
      <w:r w:rsidRPr="000E224B">
        <w:rPr>
          <w:lang w:val="en-US"/>
        </w:rPr>
        <w:t>. Cost-effectiveness variants of single-stage renovation</w:t>
      </w:r>
    </w:p>
    <w:p w14:paraId="1734E494" w14:textId="6331BA7C" w:rsidR="000E224B" w:rsidRDefault="000E224B" w:rsidP="000E224B">
      <w:pPr>
        <w:rPr>
          <w:lang w:val="en-US"/>
        </w:rPr>
      </w:pPr>
    </w:p>
    <w:p w14:paraId="6E719542" w14:textId="3DFC44FA" w:rsidR="000E224B" w:rsidRDefault="000E224B" w:rsidP="000E224B">
      <w:pPr>
        <w:rPr>
          <w:lang w:val="en-US"/>
        </w:rPr>
      </w:pPr>
      <w:r w:rsidRPr="000E224B">
        <w:rPr>
          <w:lang w:val="en-US"/>
        </w:rPr>
        <w:t xml:space="preserve">Finally, the Figure </w:t>
      </w:r>
      <w:r w:rsidR="00084DE1">
        <w:rPr>
          <w:lang w:val="en-US"/>
        </w:rPr>
        <w:t>2</w:t>
      </w:r>
      <w:r w:rsidRPr="000E224B">
        <w:rPr>
          <w:lang w:val="en-US"/>
        </w:rPr>
        <w:t xml:space="preserve"> shows the results of the cumulated primary energy demand (kWh/m²) and global costs (€/m²) over the period of 30 years, taking into consideration the optimized time and the primary energy demand calculated per step. In addition to the results for the 54 variants, the Figure </w:t>
      </w:r>
      <w:r w:rsidR="00084DE1">
        <w:rPr>
          <w:lang w:val="en-US"/>
        </w:rPr>
        <w:t>2</w:t>
      </w:r>
      <w:r w:rsidRPr="000E224B">
        <w:rPr>
          <w:lang w:val="en-US"/>
        </w:rPr>
        <w:t xml:space="preserve"> also shows for the cost-optimal variant (ID20) from Figure </w:t>
      </w:r>
      <w:r w:rsidR="00084DE1">
        <w:rPr>
          <w:lang w:val="en-US"/>
        </w:rPr>
        <w:t>1</w:t>
      </w:r>
      <w:r w:rsidRPr="000E224B">
        <w:rPr>
          <w:lang w:val="en-US"/>
        </w:rPr>
        <w:t xml:space="preserve">, different single stage renovation scenarios. The scenarios consider that the single stage renovation is carried out immediately (year 0), in year 5, 10, 15 and 20. In general the results show that, in the single-stage approach, as faster the renovation is performed, the lower the global costs and cumulated primary energy demand. When comparing to the staged renovation, the variants are, in terms of cumulated primary energy demand, equivalent to the single stage performed in year 5 (about 3.000 kWh/m²). However, in terms of </w:t>
      </w:r>
      <w:proofErr w:type="spellStart"/>
      <w:r w:rsidRPr="000E224B">
        <w:rPr>
          <w:lang w:val="en-US"/>
        </w:rPr>
        <w:t>globals</w:t>
      </w:r>
      <w:proofErr w:type="spellEnd"/>
      <w:r w:rsidRPr="000E224B">
        <w:rPr>
          <w:lang w:val="en-US"/>
        </w:rPr>
        <w:t xml:space="preserve"> costs, they can vary between 700 €/m² (single-stage year 5) and 850 €/m² (single stage year 15). The cost optimal variant is similar in both single stage and staged approaches, having the staged renovation a slightly higher (about 50 €/m²) </w:t>
      </w:r>
      <w:proofErr w:type="gramStart"/>
      <w:r w:rsidRPr="000E224B">
        <w:rPr>
          <w:lang w:val="en-US"/>
        </w:rPr>
        <w:t>global costs</w:t>
      </w:r>
      <w:proofErr w:type="gramEnd"/>
      <w:r w:rsidRPr="000E224B">
        <w:rPr>
          <w:lang w:val="en-US"/>
        </w:rPr>
        <w:t xml:space="preserve">. </w:t>
      </w:r>
    </w:p>
    <w:p w14:paraId="0DC4A551" w14:textId="4C06BD09" w:rsidR="000E224B" w:rsidRPr="000E224B" w:rsidRDefault="000E224B" w:rsidP="000E224B">
      <w:pPr>
        <w:rPr>
          <w:lang w:val="en-US"/>
        </w:rPr>
      </w:pPr>
      <w:r>
        <w:rPr>
          <w:rFonts w:asciiTheme="majorHAnsi" w:eastAsiaTheme="majorEastAsia" w:hAnsiTheme="majorHAnsi" w:cstheme="majorBidi"/>
          <w:noProof/>
          <w:color w:val="2F5496" w:themeColor="accent1" w:themeShade="BF"/>
          <w:sz w:val="32"/>
          <w:szCs w:val="32"/>
          <w:lang w:val="en-US" w:eastAsia="en-US"/>
        </w:rPr>
        <w:drawing>
          <wp:inline distT="0" distB="0" distL="0" distR="0" wp14:anchorId="398EED58" wp14:editId="3B341219">
            <wp:extent cx="4434840" cy="2255520"/>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4840" cy="2255520"/>
                    </a:xfrm>
                    <a:prstGeom prst="rect">
                      <a:avLst/>
                    </a:prstGeom>
                    <a:noFill/>
                    <a:ln>
                      <a:noFill/>
                    </a:ln>
                  </pic:spPr>
                </pic:pic>
              </a:graphicData>
            </a:graphic>
          </wp:inline>
        </w:drawing>
      </w:r>
    </w:p>
    <w:p w14:paraId="1677E723" w14:textId="77777777" w:rsidR="000E224B" w:rsidRPr="000E224B" w:rsidRDefault="000E224B" w:rsidP="000E224B">
      <w:pPr>
        <w:rPr>
          <w:lang w:val="en-US"/>
        </w:rPr>
      </w:pPr>
      <w:r w:rsidRPr="000E224B">
        <w:rPr>
          <w:lang w:val="en-US"/>
        </w:rPr>
        <w:t xml:space="preserve">  </w:t>
      </w:r>
    </w:p>
    <w:p w14:paraId="05CC1425" w14:textId="3B5B9252" w:rsidR="000E224B" w:rsidRPr="000E224B" w:rsidRDefault="000E224B" w:rsidP="000E224B">
      <w:pPr>
        <w:rPr>
          <w:lang w:val="en-US"/>
        </w:rPr>
      </w:pPr>
      <w:r w:rsidRPr="000E224B">
        <w:rPr>
          <w:lang w:val="en-US"/>
        </w:rPr>
        <w:t xml:space="preserve">Figure </w:t>
      </w:r>
      <w:r w:rsidR="00084DE1">
        <w:rPr>
          <w:lang w:val="en-US"/>
        </w:rPr>
        <w:t>2</w:t>
      </w:r>
      <w:r w:rsidRPr="000E224B">
        <w:rPr>
          <w:lang w:val="en-US"/>
        </w:rPr>
        <w:t>. Cumulated primary energy demand and global costs</w:t>
      </w:r>
    </w:p>
    <w:p w14:paraId="53730162" w14:textId="77777777" w:rsidR="005E4D4F" w:rsidRPr="000E224B" w:rsidRDefault="005E4D4F" w:rsidP="00227125">
      <w:pPr>
        <w:rPr>
          <w:lang w:val="en-US"/>
        </w:rPr>
      </w:pPr>
    </w:p>
    <w:p w14:paraId="27A1FA20" w14:textId="77777777" w:rsidR="002946B8" w:rsidRPr="00803917" w:rsidRDefault="002946B8" w:rsidP="00227125"/>
    <w:p w14:paraId="0C0574B2" w14:textId="7B453DE2" w:rsidR="005E4D4F" w:rsidRDefault="005E4D4F" w:rsidP="00A156E4">
      <w:pPr>
        <w:pStyle w:val="Ueberschrift"/>
      </w:pPr>
      <w:bookmarkStart w:id="0" w:name="_Toc26086066"/>
      <w:bookmarkStart w:id="1" w:name="_Toc68418491"/>
      <w:proofErr w:type="spellStart"/>
      <w:r w:rsidRPr="005E4D4F">
        <w:t>Literatur</w:t>
      </w:r>
      <w:bookmarkEnd w:id="0"/>
      <w:bookmarkEnd w:id="1"/>
      <w:r w:rsidR="00226F27">
        <w:t>e</w:t>
      </w:r>
      <w:proofErr w:type="spellEnd"/>
    </w:p>
    <w:p w14:paraId="0BB2BBB1" w14:textId="67D1C25F" w:rsidR="0078594A" w:rsidRPr="0078594A" w:rsidRDefault="00084DE1" w:rsidP="0078594A">
      <w:pPr>
        <w:widowControl w:val="0"/>
        <w:autoSpaceDE w:val="0"/>
        <w:autoSpaceDN w:val="0"/>
        <w:adjustRightInd w:val="0"/>
        <w:spacing w:before="120" w:after="120"/>
        <w:ind w:left="640" w:hanging="640"/>
        <w:rPr>
          <w:rFonts w:cs="Arial"/>
          <w:noProof/>
          <w:sz w:val="22"/>
        </w:rPr>
      </w:pPr>
      <w:r>
        <w:fldChar w:fldCharType="begin" w:fldLock="1"/>
      </w:r>
      <w:r>
        <w:instrText xml:space="preserve">ADDIN Mendeley Bibliography CSL_BIBLIOGRAPHY </w:instrText>
      </w:r>
      <w:r>
        <w:fldChar w:fldCharType="separate"/>
      </w:r>
      <w:r w:rsidR="0078594A" w:rsidRPr="0078594A">
        <w:rPr>
          <w:rFonts w:cs="Arial"/>
          <w:noProof/>
          <w:sz w:val="22"/>
        </w:rPr>
        <w:t>[1]</w:t>
      </w:r>
      <w:r w:rsidR="0078594A" w:rsidRPr="0078594A">
        <w:rPr>
          <w:rFonts w:cs="Arial"/>
          <w:noProof/>
          <w:sz w:val="22"/>
        </w:rPr>
        <w:tab/>
        <w:t>European Commission, “A Renovation Wave for Europe - greening our buildings, creating jobs, improving lives.” Oct. 29, 2020, [Online]. Available: https://ec.europa.eu/energy/sites/ener/files/eu_renovation_wave_strategy.pdf.</w:t>
      </w:r>
    </w:p>
    <w:p w14:paraId="62D71E49" w14:textId="77777777" w:rsidR="0078594A" w:rsidRPr="0078594A" w:rsidRDefault="0078594A" w:rsidP="0078594A">
      <w:pPr>
        <w:widowControl w:val="0"/>
        <w:autoSpaceDE w:val="0"/>
        <w:autoSpaceDN w:val="0"/>
        <w:adjustRightInd w:val="0"/>
        <w:spacing w:before="120" w:after="120"/>
        <w:ind w:left="640" w:hanging="640"/>
        <w:rPr>
          <w:rFonts w:cs="Arial"/>
          <w:noProof/>
          <w:sz w:val="22"/>
        </w:rPr>
      </w:pPr>
      <w:r w:rsidRPr="0078594A">
        <w:rPr>
          <w:rFonts w:cs="Arial"/>
          <w:noProof/>
          <w:sz w:val="22"/>
        </w:rPr>
        <w:t>[2]</w:t>
      </w:r>
      <w:r w:rsidRPr="0078594A">
        <w:rPr>
          <w:rFonts w:cs="Arial"/>
          <w:noProof/>
          <w:sz w:val="22"/>
        </w:rPr>
        <w:tab/>
        <w:t xml:space="preserve">European Parliament, </w:t>
      </w:r>
      <w:r w:rsidRPr="0078594A">
        <w:rPr>
          <w:rFonts w:cs="Arial"/>
          <w:i/>
          <w:iCs/>
          <w:noProof/>
          <w:sz w:val="22"/>
        </w:rPr>
        <w:t>Directive (EU) 2018/844 of the European Parliament and of the Council of 30 May 2018 amending Directive 2010/31/EU on the energy performance of buildings and Directive 2012/27/EU on energy efficiency (Text with EEA relevance)</w:t>
      </w:r>
      <w:r w:rsidRPr="0078594A">
        <w:rPr>
          <w:rFonts w:cs="Arial"/>
          <w:noProof/>
          <w:sz w:val="22"/>
        </w:rPr>
        <w:t xml:space="preserve">, vol. </w:t>
      </w:r>
      <w:r w:rsidRPr="0078594A">
        <w:rPr>
          <w:rFonts w:cs="Arial"/>
          <w:noProof/>
          <w:sz w:val="22"/>
        </w:rPr>
        <w:lastRenderedPageBreak/>
        <w:t>OJ L. 2018.</w:t>
      </w:r>
    </w:p>
    <w:p w14:paraId="71B1BE11" w14:textId="77777777" w:rsidR="0078594A" w:rsidRPr="0078594A" w:rsidRDefault="0078594A" w:rsidP="0078594A">
      <w:pPr>
        <w:widowControl w:val="0"/>
        <w:autoSpaceDE w:val="0"/>
        <w:autoSpaceDN w:val="0"/>
        <w:adjustRightInd w:val="0"/>
        <w:spacing w:before="120" w:after="120"/>
        <w:ind w:left="640" w:hanging="640"/>
        <w:rPr>
          <w:rFonts w:cs="Arial"/>
          <w:noProof/>
          <w:sz w:val="22"/>
        </w:rPr>
      </w:pPr>
      <w:r w:rsidRPr="0078594A">
        <w:rPr>
          <w:rFonts w:cs="Arial"/>
          <w:noProof/>
          <w:sz w:val="22"/>
        </w:rPr>
        <w:t>[3]</w:t>
      </w:r>
      <w:r w:rsidRPr="0078594A">
        <w:rPr>
          <w:rFonts w:cs="Arial"/>
          <w:noProof/>
          <w:sz w:val="22"/>
        </w:rPr>
        <w:tab/>
        <w:t xml:space="preserve">I. Maia, L. Kranzl, and A. Müller, “New step-by-step retrofitting model for delivering optimum timing,” </w:t>
      </w:r>
      <w:r w:rsidRPr="0078594A">
        <w:rPr>
          <w:rFonts w:cs="Arial"/>
          <w:i/>
          <w:iCs/>
          <w:noProof/>
          <w:sz w:val="22"/>
        </w:rPr>
        <w:t>Appl. Energy</w:t>
      </w:r>
      <w:r w:rsidRPr="0078594A">
        <w:rPr>
          <w:rFonts w:cs="Arial"/>
          <w:noProof/>
          <w:sz w:val="22"/>
        </w:rPr>
        <w:t>, vol. 290, p. 116714, Aug. 2021, doi: 10.1016/j.apenergy.2021.116714.</w:t>
      </w:r>
    </w:p>
    <w:p w14:paraId="53EDE65A" w14:textId="6E5DD49B" w:rsidR="00010E92" w:rsidRPr="00227125" w:rsidRDefault="00084DE1" w:rsidP="00084DE1">
      <w:pPr>
        <w:pStyle w:val="Ueberschrift"/>
      </w:pPr>
      <w:r>
        <w:fldChar w:fldCharType="end"/>
      </w:r>
    </w:p>
    <w:p w14:paraId="68AAF16B" w14:textId="144ED352" w:rsidR="005E4D4F" w:rsidRDefault="005E4D4F" w:rsidP="00227125">
      <w:pPr>
        <w:pStyle w:val="Literatur"/>
      </w:pPr>
    </w:p>
    <w:p w14:paraId="2F0DAADC" w14:textId="3A608AFF" w:rsidR="00564569" w:rsidRDefault="00564569" w:rsidP="00227125">
      <w:pPr>
        <w:pStyle w:val="Literatur"/>
      </w:pPr>
    </w:p>
    <w:p w14:paraId="24C120A5" w14:textId="77777777"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5FE8" w14:textId="77777777" w:rsidR="009E7B52" w:rsidRDefault="009E7B52">
      <w:r>
        <w:separator/>
      </w:r>
    </w:p>
  </w:endnote>
  <w:endnote w:type="continuationSeparator" w:id="0">
    <w:p w14:paraId="2C2C2B75" w14:textId="77777777" w:rsidR="009E7B52" w:rsidRDefault="009E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293B" w14:textId="77777777" w:rsidR="009E7B52" w:rsidRDefault="009E7B52">
      <w:r>
        <w:separator/>
      </w:r>
    </w:p>
  </w:footnote>
  <w:footnote w:type="continuationSeparator" w:id="0">
    <w:p w14:paraId="6FFFC9FF" w14:textId="77777777" w:rsidR="009E7B52" w:rsidRDefault="009E7B52">
      <w:r>
        <w:continuationSeparator/>
      </w:r>
    </w:p>
  </w:footnote>
  <w:footnote w:id="1">
    <w:p w14:paraId="1DD27DBA" w14:textId="752127B7" w:rsidR="00D53E86" w:rsidRPr="00FB69AE" w:rsidRDefault="00D53E86" w:rsidP="002014D3">
      <w:r w:rsidRPr="00A115D2">
        <w:rPr>
          <w:rStyle w:val="Funotenzeichen"/>
        </w:rPr>
        <w:footnoteRef/>
      </w:r>
      <w:r w:rsidRPr="00D53E86">
        <w:t xml:space="preserve"> </w:t>
      </w:r>
      <w:proofErr w:type="spellStart"/>
      <w:r w:rsidR="000E224B">
        <w:t>Gu</w:t>
      </w:r>
      <w:r w:rsidR="00226F27">
        <w:t>ß</w:t>
      </w:r>
      <w:r w:rsidR="000E224B">
        <w:t>hau</w:t>
      </w:r>
      <w:r w:rsidR="00226F27">
        <w:t>s</w:t>
      </w:r>
      <w:r w:rsidR="000E224B">
        <w:t>straße</w:t>
      </w:r>
      <w:proofErr w:type="spellEnd"/>
      <w:r w:rsidR="00226F27">
        <w:t xml:space="preserve"> </w:t>
      </w:r>
      <w:r w:rsidR="00226F27" w:rsidRPr="00226F27">
        <w:t>25-29/370-3</w:t>
      </w:r>
      <w:r w:rsidR="00E520E6">
        <w:t xml:space="preserve">, </w:t>
      </w:r>
      <w:r w:rsidR="00226F27" w:rsidRPr="00226F27">
        <w:t>+43 (0) 1 58801 370380</w:t>
      </w:r>
      <w:r w:rsidR="00A6148D">
        <w:t>,</w:t>
      </w:r>
      <w:r w:rsidR="00FD5D56">
        <w:t xml:space="preserve"> </w:t>
      </w:r>
      <w:r w:rsidR="00226F27">
        <w:t>maia@eeg.tuwien.ac.at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84DE1"/>
    <w:rsid w:val="000E224B"/>
    <w:rsid w:val="002014D3"/>
    <w:rsid w:val="00226F27"/>
    <w:rsid w:val="00227125"/>
    <w:rsid w:val="00247E3C"/>
    <w:rsid w:val="00262FD5"/>
    <w:rsid w:val="002946B8"/>
    <w:rsid w:val="00335E63"/>
    <w:rsid w:val="00350F98"/>
    <w:rsid w:val="00372D53"/>
    <w:rsid w:val="003B676F"/>
    <w:rsid w:val="003C28FE"/>
    <w:rsid w:val="00483B87"/>
    <w:rsid w:val="00564569"/>
    <w:rsid w:val="005B1672"/>
    <w:rsid w:val="005B1ADB"/>
    <w:rsid w:val="005E4D4F"/>
    <w:rsid w:val="007378C8"/>
    <w:rsid w:val="00741EC0"/>
    <w:rsid w:val="0078594A"/>
    <w:rsid w:val="00803917"/>
    <w:rsid w:val="009410D4"/>
    <w:rsid w:val="009D66CF"/>
    <w:rsid w:val="009E7B52"/>
    <w:rsid w:val="00A07737"/>
    <w:rsid w:val="00A156E4"/>
    <w:rsid w:val="00A6148D"/>
    <w:rsid w:val="00BF05FA"/>
    <w:rsid w:val="00CE1A70"/>
    <w:rsid w:val="00D53E86"/>
    <w:rsid w:val="00D736F8"/>
    <w:rsid w:val="00E520E6"/>
    <w:rsid w:val="00FB69AE"/>
    <w:rsid w:val="00FD289C"/>
    <w:rsid w:val="00FD5D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6A72-5DD8-4E06-A84D-1CC299E3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7726</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Eugenio Noronha Maia, Ina</cp:lastModifiedBy>
  <cp:revision>6</cp:revision>
  <dcterms:created xsi:type="dcterms:W3CDTF">2022-11-21T08:12:00Z</dcterms:created>
  <dcterms:modified xsi:type="dcterms:W3CDTF">2022-11-21T09:52:00Z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e3c9c2c5-f8e8-341e-9870-b2ed01f2c0c9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