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92CB" w14:textId="0079A6DD" w:rsidR="005E4D4F" w:rsidRPr="005E4D4F" w:rsidRDefault="00841C3A" w:rsidP="005E4D4F">
      <w:pPr>
        <w:pStyle w:val="Abstract-Titel"/>
      </w:pPr>
      <w:r>
        <w:t xml:space="preserve">Überlegungen zur </w:t>
      </w:r>
      <w:r w:rsidR="00046647">
        <w:t xml:space="preserve">Anwendung </w:t>
      </w:r>
      <w:r>
        <w:t>der netzwirksamen Leistung bei Regelungen zum</w:t>
      </w:r>
      <w:r w:rsidR="002759B0">
        <w:t xml:space="preserve"> Netzanschluss</w:t>
      </w:r>
    </w:p>
    <w:p w14:paraId="7B4E252C" w14:textId="286A5E9C" w:rsidR="00BF05FA" w:rsidRDefault="00F200CE" w:rsidP="00A156E4">
      <w:pPr>
        <w:pStyle w:val="AutorenOrganisation"/>
      </w:pPr>
      <w:r>
        <w:t xml:space="preserve">Energieerzeugung/-infrastruktur und Netze </w:t>
      </w:r>
    </w:p>
    <w:p w14:paraId="764EA987" w14:textId="54274D5F" w:rsidR="005E4D4F" w:rsidRDefault="00F200CE" w:rsidP="005E4D4F">
      <w:pPr>
        <w:pStyle w:val="AutorenOrganisation"/>
        <w:rPr>
          <w:vertAlign w:val="superscript"/>
        </w:rPr>
      </w:pPr>
      <w:r>
        <w:t>Esther Werderitsch</w:t>
      </w:r>
      <w:r w:rsidR="005E4D4F" w:rsidRPr="00010E92">
        <w:rPr>
          <w:vertAlign w:val="superscript"/>
        </w:rPr>
        <w:footnoteReference w:id="1"/>
      </w:r>
      <w:r>
        <w:t xml:space="preserve"> E Control</w:t>
      </w:r>
      <w:r w:rsidR="00B62879">
        <w:t>,</w:t>
      </w:r>
      <w:r w:rsidR="00197F7A">
        <w:t xml:space="preserve"> Gerald Kalt</w:t>
      </w:r>
      <w:r w:rsidR="008A1044" w:rsidRPr="008533C3">
        <w:rPr>
          <w:vertAlign w:val="superscript"/>
        </w:rPr>
        <w:t>1</w:t>
      </w:r>
      <w:r w:rsidR="00B62879">
        <w:t xml:space="preserve">, </w:t>
      </w:r>
      <w:r w:rsidR="00197F7A">
        <w:t>Michael Berger</w:t>
      </w:r>
      <w:r w:rsidR="008A1044" w:rsidRPr="008533C3">
        <w:rPr>
          <w:vertAlign w:val="superscript"/>
        </w:rPr>
        <w:t>1</w:t>
      </w:r>
    </w:p>
    <w:p w14:paraId="2780BAD4" w14:textId="1C20F9B4" w:rsidR="008A1044" w:rsidRDefault="008A1044" w:rsidP="005E4D4F">
      <w:pPr>
        <w:pStyle w:val="AutorenOrganisation"/>
      </w:pPr>
      <w:r>
        <w:rPr>
          <w:vertAlign w:val="superscript"/>
        </w:rPr>
        <w:t>(</w:t>
      </w:r>
      <w:r w:rsidRPr="00010E92">
        <w:rPr>
          <w:vertAlign w:val="superscript"/>
        </w:rPr>
        <w:t>1</w:t>
      </w:r>
      <w:r>
        <w:rPr>
          <w:vertAlign w:val="superscript"/>
        </w:rPr>
        <w:t>)</w:t>
      </w:r>
      <w:r w:rsidRPr="00E333DD">
        <w:t xml:space="preserve"> </w:t>
      </w:r>
      <w:r>
        <w:t>E-Control</w:t>
      </w:r>
    </w:p>
    <w:p w14:paraId="42CAA6D7" w14:textId="77777777" w:rsidR="00A07737" w:rsidRPr="005E4D4F" w:rsidRDefault="00A07737" w:rsidP="00FB69AE">
      <w:pPr>
        <w:rPr>
          <w:lang w:val="de-AT"/>
        </w:rPr>
      </w:pPr>
    </w:p>
    <w:p w14:paraId="736F5740" w14:textId="77777777" w:rsidR="005E4D4F" w:rsidRPr="005E4D4F" w:rsidRDefault="005E4D4F" w:rsidP="005E4D4F">
      <w:pPr>
        <w:pStyle w:val="Ueberschrift"/>
      </w:pPr>
      <w:r w:rsidRPr="005E4D4F">
        <w:t>Motivation und zentrale Fragestellung</w:t>
      </w:r>
    </w:p>
    <w:p w14:paraId="66D78B55" w14:textId="26BAB478" w:rsidR="00702AC9" w:rsidRDefault="002759B0" w:rsidP="002759B0">
      <w:pPr>
        <w:rPr>
          <w:lang w:val="de-AT"/>
        </w:rPr>
      </w:pPr>
      <w:r>
        <w:rPr>
          <w:lang w:val="de-AT"/>
        </w:rPr>
        <w:t xml:space="preserve">Ein zentrales Ziel der Regulierungsbehörde ist seit ihrer Gründung die Schaffung eines angemessenen Rahmens im Einklang mit Zielen der Energiepolitik und -effizienz </w:t>
      </w:r>
      <w:r w:rsidR="000F7FEE">
        <w:rPr>
          <w:lang w:val="de-AT"/>
        </w:rPr>
        <w:fldChar w:fldCharType="begin"/>
      </w:r>
      <w:r w:rsidR="000F7FEE">
        <w:rPr>
          <w:lang w:val="de-AT"/>
        </w:rPr>
        <w:instrText xml:space="preserve"> REF _Ref118970172 \r \h </w:instrText>
      </w:r>
      <w:r w:rsidR="000F7FEE">
        <w:rPr>
          <w:lang w:val="de-AT"/>
        </w:rPr>
      </w:r>
      <w:r w:rsidR="000F7FEE">
        <w:rPr>
          <w:lang w:val="de-AT"/>
        </w:rPr>
        <w:fldChar w:fldCharType="separate"/>
      </w:r>
      <w:r w:rsidR="00585978">
        <w:rPr>
          <w:lang w:val="de-AT"/>
        </w:rPr>
        <w:t>[1]</w:t>
      </w:r>
      <w:r w:rsidR="000F7FEE">
        <w:rPr>
          <w:lang w:val="de-AT"/>
        </w:rPr>
        <w:fldChar w:fldCharType="end"/>
      </w:r>
      <w:r>
        <w:rPr>
          <w:lang w:val="de-AT"/>
        </w:rPr>
        <w:t xml:space="preserve">. Österreich verfolgt das Ziel, </w:t>
      </w:r>
      <w:r w:rsidR="006C18AC">
        <w:rPr>
          <w:lang w:val="de-AT"/>
        </w:rPr>
        <w:t>i</w:t>
      </w:r>
      <w:r w:rsidR="006C18AC" w:rsidRPr="006C18AC">
        <w:rPr>
          <w:lang w:val="de-AT"/>
        </w:rPr>
        <w:t>m Jahr 2030 100 % des Stromverbrauchs bilanziell durch Erneuerbare zu</w:t>
      </w:r>
      <w:r w:rsidR="006C18AC">
        <w:rPr>
          <w:lang w:val="de-AT"/>
        </w:rPr>
        <w:t xml:space="preserve"> </w:t>
      </w:r>
      <w:r w:rsidR="006C18AC" w:rsidRPr="006C18AC">
        <w:rPr>
          <w:lang w:val="de-AT"/>
        </w:rPr>
        <w:t>decken</w:t>
      </w:r>
      <w:r w:rsidR="006C18AC">
        <w:rPr>
          <w:lang w:val="de-AT"/>
        </w:rPr>
        <w:t xml:space="preserve"> </w:t>
      </w:r>
      <w:r w:rsidR="007F74DC">
        <w:rPr>
          <w:lang w:val="de-AT"/>
        </w:rPr>
        <w:fldChar w:fldCharType="begin"/>
      </w:r>
      <w:r w:rsidR="007F74DC">
        <w:rPr>
          <w:lang w:val="de-AT"/>
        </w:rPr>
        <w:instrText xml:space="preserve"> REF _Ref118985855 \r \h </w:instrText>
      </w:r>
      <w:r w:rsidR="007F74DC">
        <w:rPr>
          <w:lang w:val="de-AT"/>
        </w:rPr>
      </w:r>
      <w:r w:rsidR="007F74DC">
        <w:rPr>
          <w:lang w:val="de-AT"/>
        </w:rPr>
        <w:fldChar w:fldCharType="separate"/>
      </w:r>
      <w:r w:rsidR="00585978">
        <w:rPr>
          <w:lang w:val="de-AT"/>
        </w:rPr>
        <w:t>[2]</w:t>
      </w:r>
      <w:r w:rsidR="007F74DC">
        <w:rPr>
          <w:lang w:val="de-AT"/>
        </w:rPr>
        <w:fldChar w:fldCharType="end"/>
      </w:r>
      <w:r>
        <w:rPr>
          <w:lang w:val="de-AT"/>
        </w:rPr>
        <w:t xml:space="preserve">. </w:t>
      </w:r>
      <w:r w:rsidRPr="008E074F">
        <w:rPr>
          <w:lang w:val="de-AT"/>
        </w:rPr>
        <w:t>Die Integration erneuerbare</w:t>
      </w:r>
      <w:r w:rsidRPr="00D8517C">
        <w:rPr>
          <w:lang w:val="de-AT"/>
        </w:rPr>
        <w:t>r</w:t>
      </w:r>
      <w:r w:rsidRPr="008E074F">
        <w:rPr>
          <w:lang w:val="de-AT"/>
        </w:rPr>
        <w:t xml:space="preserve"> volatile</w:t>
      </w:r>
      <w:r w:rsidRPr="00D8517C">
        <w:rPr>
          <w:lang w:val="de-AT"/>
        </w:rPr>
        <w:t>r</w:t>
      </w:r>
      <w:r w:rsidRPr="008E074F">
        <w:rPr>
          <w:lang w:val="de-AT"/>
        </w:rPr>
        <w:t xml:space="preserve"> und dezentrale</w:t>
      </w:r>
      <w:r w:rsidRPr="00D8517C">
        <w:rPr>
          <w:lang w:val="de-AT"/>
        </w:rPr>
        <w:t>r</w:t>
      </w:r>
      <w:r w:rsidRPr="008E074F">
        <w:rPr>
          <w:lang w:val="de-AT"/>
        </w:rPr>
        <w:t xml:space="preserve"> </w:t>
      </w:r>
      <w:r>
        <w:rPr>
          <w:lang w:val="de-AT"/>
        </w:rPr>
        <w:t>Strome</w:t>
      </w:r>
      <w:r w:rsidRPr="008E074F">
        <w:rPr>
          <w:lang w:val="de-AT"/>
        </w:rPr>
        <w:t>rzeugungsanlagen bei</w:t>
      </w:r>
      <w:r w:rsidR="0074501E">
        <w:rPr>
          <w:lang w:val="de-AT"/>
        </w:rPr>
        <w:t xml:space="preserve"> gleichzeitiger </w:t>
      </w:r>
      <w:r w:rsidRPr="008E074F">
        <w:rPr>
          <w:lang w:val="de-AT"/>
        </w:rPr>
        <w:t xml:space="preserve">Gewährleistung einer sicheren und leistbaren Energieversorgung </w:t>
      </w:r>
      <w:r w:rsidR="00052B94">
        <w:rPr>
          <w:lang w:val="de-AT"/>
        </w:rPr>
        <w:t xml:space="preserve">macht </w:t>
      </w:r>
      <w:r w:rsidR="006F44A3">
        <w:rPr>
          <w:lang w:val="de-AT"/>
        </w:rPr>
        <w:t>umfangreiche</w:t>
      </w:r>
      <w:r w:rsidR="00052B94">
        <w:rPr>
          <w:lang w:val="de-AT"/>
        </w:rPr>
        <w:t xml:space="preserve"> Netzverstärkungen</w:t>
      </w:r>
      <w:r w:rsidR="00DF5013">
        <w:rPr>
          <w:lang w:val="de-AT"/>
        </w:rPr>
        <w:t>,</w:t>
      </w:r>
      <w:r w:rsidR="00052B94">
        <w:rPr>
          <w:lang w:val="de-AT"/>
        </w:rPr>
        <w:t xml:space="preserve"> Netzausbau</w:t>
      </w:r>
      <w:r w:rsidR="00DF5013">
        <w:rPr>
          <w:lang w:val="de-AT"/>
        </w:rPr>
        <w:t xml:space="preserve"> und den gezielten Einsatz von Flexibilitäten</w:t>
      </w:r>
      <w:r w:rsidR="00052B94">
        <w:rPr>
          <w:lang w:val="de-AT"/>
        </w:rPr>
        <w:t xml:space="preserve"> notwendig. Darüber hinaus </w:t>
      </w:r>
      <w:r w:rsidR="006C5C7E">
        <w:rPr>
          <w:lang w:val="de-AT"/>
        </w:rPr>
        <w:t xml:space="preserve">sind </w:t>
      </w:r>
      <w:r w:rsidR="006C18AC">
        <w:rPr>
          <w:lang w:val="de-AT"/>
        </w:rPr>
        <w:t>eine</w:t>
      </w:r>
      <w:r w:rsidR="00052B94">
        <w:rPr>
          <w:lang w:val="de-AT"/>
        </w:rPr>
        <w:t xml:space="preserve"> laufende </w:t>
      </w:r>
      <w:r w:rsidR="0074501E">
        <w:rPr>
          <w:lang w:val="de-AT"/>
        </w:rPr>
        <w:t>Evaluier</w:t>
      </w:r>
      <w:r w:rsidR="006C18AC">
        <w:rPr>
          <w:lang w:val="de-AT"/>
        </w:rPr>
        <w:t>ung</w:t>
      </w:r>
      <w:r w:rsidR="0074501E">
        <w:rPr>
          <w:lang w:val="de-AT"/>
        </w:rPr>
        <w:t xml:space="preserve"> </w:t>
      </w:r>
      <w:r w:rsidR="00052B94">
        <w:rPr>
          <w:lang w:val="de-AT"/>
        </w:rPr>
        <w:t xml:space="preserve">des </w:t>
      </w:r>
      <w:r w:rsidRPr="008E074F">
        <w:rPr>
          <w:lang w:val="de-AT"/>
        </w:rPr>
        <w:t>regulatorische</w:t>
      </w:r>
      <w:r w:rsidR="00052B94">
        <w:rPr>
          <w:lang w:val="de-AT"/>
        </w:rPr>
        <w:t>n</w:t>
      </w:r>
      <w:r w:rsidRPr="008E074F">
        <w:rPr>
          <w:lang w:val="de-AT"/>
        </w:rPr>
        <w:t xml:space="preserve"> </w:t>
      </w:r>
      <w:r w:rsidR="00052B94">
        <w:rPr>
          <w:lang w:val="de-AT"/>
        </w:rPr>
        <w:t>Rahmens</w:t>
      </w:r>
      <w:r w:rsidRPr="00D8517C">
        <w:rPr>
          <w:lang w:val="de-AT"/>
        </w:rPr>
        <w:t xml:space="preserve"> sowie die </w:t>
      </w:r>
      <w:r w:rsidR="00052B94">
        <w:rPr>
          <w:lang w:val="de-AT"/>
        </w:rPr>
        <w:t>Entwicklung neuer Konzepte, die einen rasche</w:t>
      </w:r>
      <w:r w:rsidR="00585978">
        <w:rPr>
          <w:lang w:val="de-AT"/>
        </w:rPr>
        <w:t>n</w:t>
      </w:r>
      <w:r w:rsidR="00052B94">
        <w:rPr>
          <w:lang w:val="de-AT"/>
        </w:rPr>
        <w:t xml:space="preserve"> Umbau des Stromsystems ermöglichen, erforderlich. </w:t>
      </w:r>
    </w:p>
    <w:p w14:paraId="5300F02E" w14:textId="19CD1D35" w:rsidR="002759B0" w:rsidRDefault="00125201" w:rsidP="002759B0">
      <w:pPr>
        <w:rPr>
          <w:lang w:val="de-AT"/>
        </w:rPr>
      </w:pPr>
      <w:r>
        <w:rPr>
          <w:lang w:val="de-AT"/>
        </w:rPr>
        <w:t>Unter anderem spielen dabei</w:t>
      </w:r>
      <w:r w:rsidR="00052B94">
        <w:rPr>
          <w:lang w:val="de-AT"/>
        </w:rPr>
        <w:t xml:space="preserve"> Regelungen zum Netzanschluss erneuerbarer Stromerzeugungsanlagen, aber auch von Verbrauchsanlagen und stark an Bedeutung gewinnende</w:t>
      </w:r>
      <w:r>
        <w:rPr>
          <w:lang w:val="de-AT"/>
        </w:rPr>
        <w:t>n</w:t>
      </w:r>
      <w:r w:rsidR="00052B94">
        <w:rPr>
          <w:lang w:val="de-AT"/>
        </w:rPr>
        <w:t xml:space="preserve"> Betriebsmittel</w:t>
      </w:r>
      <w:r w:rsidR="00692789">
        <w:rPr>
          <w:lang w:val="de-AT"/>
        </w:rPr>
        <w:t>n</w:t>
      </w:r>
      <w:r w:rsidR="00052B94">
        <w:rPr>
          <w:lang w:val="de-AT"/>
        </w:rPr>
        <w:t xml:space="preserve"> wie </w:t>
      </w:r>
      <w:r w:rsidR="006F44A3">
        <w:rPr>
          <w:lang w:val="de-AT"/>
        </w:rPr>
        <w:t>Wärmepumpen, elektrische</w:t>
      </w:r>
      <w:r>
        <w:rPr>
          <w:lang w:val="de-AT"/>
        </w:rPr>
        <w:t>n</w:t>
      </w:r>
      <w:r w:rsidR="006F44A3">
        <w:rPr>
          <w:lang w:val="de-AT"/>
        </w:rPr>
        <w:t xml:space="preserve"> Energiespeicher</w:t>
      </w:r>
      <w:r>
        <w:rPr>
          <w:lang w:val="de-AT"/>
        </w:rPr>
        <w:t>n</w:t>
      </w:r>
      <w:r w:rsidR="006F44A3">
        <w:rPr>
          <w:lang w:val="de-AT"/>
        </w:rPr>
        <w:t xml:space="preserve"> und Ladeeinrichtungen für Elektrofahrzeuge </w:t>
      </w:r>
      <w:r w:rsidR="00052B94">
        <w:rPr>
          <w:lang w:val="de-AT"/>
        </w:rPr>
        <w:t xml:space="preserve">eine zentrale Rolle. </w:t>
      </w:r>
      <w:r w:rsidR="00E15DBA">
        <w:rPr>
          <w:lang w:val="de-AT"/>
        </w:rPr>
        <w:t>I</w:t>
      </w:r>
      <w:r w:rsidR="0010435F">
        <w:rPr>
          <w:lang w:val="de-AT"/>
        </w:rPr>
        <w:t xml:space="preserve">n diesem Zusammenhang </w:t>
      </w:r>
      <w:r w:rsidR="00E15DBA">
        <w:rPr>
          <w:lang w:val="de-AT"/>
        </w:rPr>
        <w:t xml:space="preserve">wird derzeit das </w:t>
      </w:r>
      <w:r w:rsidR="0010435F">
        <w:rPr>
          <w:lang w:val="de-AT"/>
        </w:rPr>
        <w:t>Konzept der „Netzwirksamen Leistung“</w:t>
      </w:r>
      <w:r w:rsidR="00E15DBA">
        <w:rPr>
          <w:lang w:val="de-AT"/>
        </w:rPr>
        <w:t xml:space="preserve"> diskutiert</w:t>
      </w:r>
      <w:r w:rsidR="0010435F">
        <w:rPr>
          <w:lang w:val="de-AT"/>
        </w:rPr>
        <w:t xml:space="preserve">, mit dem einerseits </w:t>
      </w:r>
      <w:r w:rsidR="00692789">
        <w:rPr>
          <w:lang w:val="de-AT"/>
        </w:rPr>
        <w:t>die Integration dezentraler Erneuerbarer forciert</w:t>
      </w:r>
      <w:r w:rsidR="0010435F">
        <w:rPr>
          <w:lang w:val="de-AT"/>
        </w:rPr>
        <w:t xml:space="preserve"> und andererseits</w:t>
      </w:r>
      <w:r w:rsidR="00445BDC">
        <w:rPr>
          <w:lang w:val="de-AT"/>
        </w:rPr>
        <w:t xml:space="preserve"> eine</w:t>
      </w:r>
      <w:r w:rsidR="0010435F">
        <w:rPr>
          <w:lang w:val="de-AT"/>
        </w:rPr>
        <w:t xml:space="preserve"> verursachergerechte Kostenverteilung </w:t>
      </w:r>
      <w:r w:rsidR="00E15DBA">
        <w:rPr>
          <w:lang w:val="de-AT"/>
        </w:rPr>
        <w:t>sichergestellt</w:t>
      </w:r>
      <w:r w:rsidR="0010435F">
        <w:rPr>
          <w:lang w:val="de-AT"/>
        </w:rPr>
        <w:t xml:space="preserve"> werden soll. </w:t>
      </w:r>
      <w:r w:rsidR="00445BDC">
        <w:rPr>
          <w:lang w:val="de-AT"/>
        </w:rPr>
        <w:t>Im vorliegenden Beitrag wird das Konzept erläutert und seine mögliche Anwendung einer kritischen Prüfung unterzogen.</w:t>
      </w:r>
    </w:p>
    <w:p w14:paraId="66ABCF4D" w14:textId="77777777" w:rsidR="005E4D4F" w:rsidRPr="005E4D4F" w:rsidRDefault="005E4D4F" w:rsidP="00227125"/>
    <w:p w14:paraId="683CA3B2" w14:textId="77777777" w:rsidR="005E4D4F" w:rsidRPr="005E4D4F" w:rsidRDefault="005E4D4F" w:rsidP="005E4D4F">
      <w:pPr>
        <w:pStyle w:val="Ueberschrift"/>
      </w:pPr>
      <w:r w:rsidRPr="005E4D4F">
        <w:t>Methodische Vorgangsweise</w:t>
      </w:r>
    </w:p>
    <w:p w14:paraId="625D53F8" w14:textId="5FC41D89" w:rsidR="00B62879" w:rsidRDefault="0033607A" w:rsidP="00192D16">
      <w:r>
        <w:t>Ausgangspunkt der Analyse stellt eine im Auftrag der E-Control erstellte</w:t>
      </w:r>
      <w:r w:rsidR="00702AC9">
        <w:t xml:space="preserve"> </w:t>
      </w:r>
      <w:r w:rsidR="00572712">
        <w:t>Studie</w:t>
      </w:r>
      <w:r w:rsidR="00F200CE">
        <w:t xml:space="preserve"> </w:t>
      </w:r>
      <w:r w:rsidR="007F74DC">
        <w:fldChar w:fldCharType="begin"/>
      </w:r>
      <w:r w:rsidR="007F74DC">
        <w:instrText xml:space="preserve"> REF _Ref118985863 \r \h </w:instrText>
      </w:r>
      <w:r w:rsidR="007F74DC">
        <w:fldChar w:fldCharType="separate"/>
      </w:r>
      <w:r w:rsidR="00585978">
        <w:t>[3]</w:t>
      </w:r>
      <w:r w:rsidR="007F74DC">
        <w:fldChar w:fldCharType="end"/>
      </w:r>
      <w:r w:rsidR="009D259F">
        <w:t xml:space="preserve"> dar</w:t>
      </w:r>
      <w:r>
        <w:t>,</w:t>
      </w:r>
      <w:r w:rsidR="000F7FEE">
        <w:fldChar w:fldCharType="begin"/>
      </w:r>
      <w:r w:rsidR="000F7FEE">
        <w:instrText xml:space="preserve"> REF _Ref118970190 \r \h </w:instrText>
      </w:r>
      <w:r w:rsidR="00C07C3B">
        <w:fldChar w:fldCharType="separate"/>
      </w:r>
      <w:r w:rsidR="000F7FEE">
        <w:fldChar w:fldCharType="end"/>
      </w:r>
      <w:r w:rsidR="00572712">
        <w:t xml:space="preserve"> </w:t>
      </w:r>
      <w:r>
        <w:t xml:space="preserve">bei der </w:t>
      </w:r>
      <w:r w:rsidR="00DE6A2E">
        <w:t xml:space="preserve">das </w:t>
      </w:r>
      <w:r w:rsidR="00702AC9">
        <w:t xml:space="preserve">derzeitige </w:t>
      </w:r>
      <w:r w:rsidR="00DE6A2E">
        <w:t>Vorgehen bei</w:t>
      </w:r>
      <w:r w:rsidR="009D259F">
        <w:t xml:space="preserve"> der Netzanschlussbeurteilung</w:t>
      </w:r>
      <w:r w:rsidR="00DE6A2E">
        <w:t xml:space="preserve"> </w:t>
      </w:r>
      <w:r w:rsidR="00702AC9">
        <w:t xml:space="preserve">analysiert </w:t>
      </w:r>
      <w:r w:rsidR="00607186">
        <w:t xml:space="preserve">und Methoden zur Bestimmung </w:t>
      </w:r>
      <w:r w:rsidR="00F70987">
        <w:t>der verfügbaren und gebuchten Kapazitäten je Umspannwerk</w:t>
      </w:r>
      <w:r w:rsidR="00023DA8">
        <w:t xml:space="preserve"> bewertet</w:t>
      </w:r>
      <w:r>
        <w:t xml:space="preserve"> wurden</w:t>
      </w:r>
      <w:r w:rsidR="00572712">
        <w:t xml:space="preserve">. </w:t>
      </w:r>
      <w:r w:rsidR="0074501E">
        <w:t xml:space="preserve">Die </w:t>
      </w:r>
      <w:r w:rsidR="00E037B9">
        <w:t xml:space="preserve">für den nationalen Regelungsrahmen maßgeblichen </w:t>
      </w:r>
      <w:r w:rsidR="00046647">
        <w:t>Network Codes</w:t>
      </w:r>
      <w:r w:rsidR="00E037B9">
        <w:t>/Guidelines der Europäischen Kommission [4] sehen keine speziellen Regelungen für kombinierte Erzeugungs- und Verbrauchsanlagen vor; dass Kundenanlagen zunehmend</w:t>
      </w:r>
      <w:r w:rsidR="0074501E">
        <w:t xml:space="preserve"> Kombinationen von Lasten, Speichern und Stromerzeugungsanlagen am selben Netzanschlusspunkt</w:t>
      </w:r>
      <w:r w:rsidR="00E037B9">
        <w:t xml:space="preserve"> beinhalten, </w:t>
      </w:r>
      <w:r w:rsidR="00840179">
        <w:t>eröffnet Möglichkeiten für regulatorische Anreize, die bislang zu wenig berücksichtigt wurden</w:t>
      </w:r>
      <w:r w:rsidR="0074501E">
        <w:t>. Aus Sicht der E-Control sollte</w:t>
      </w:r>
      <w:r w:rsidR="00AB0277">
        <w:t>n</w:t>
      </w:r>
      <w:r w:rsidR="0074501E">
        <w:t xml:space="preserve"> hier </w:t>
      </w:r>
      <w:r w:rsidR="00AB0277">
        <w:t xml:space="preserve">differenzierte Regelungen in Betracht gezogen werden; </w:t>
      </w:r>
      <w:r w:rsidR="00B62879">
        <w:t xml:space="preserve">der Ansatz der netzwirksamen Leistung </w:t>
      </w:r>
      <w:r w:rsidR="009E5C61">
        <w:t>kann insbesondere für</w:t>
      </w:r>
      <w:r w:rsidR="009212E5">
        <w:t xml:space="preserve"> solche</w:t>
      </w:r>
      <w:r w:rsidR="009E5C61">
        <w:t xml:space="preserve"> integrierte</w:t>
      </w:r>
      <w:r w:rsidR="009D259F">
        <w:t>n</w:t>
      </w:r>
      <w:r w:rsidR="009E5C61">
        <w:t xml:space="preserve"> Verbrauchs- und Erzeugungsanlagen sowohl für Netzbetreiber als auch Anlagenbetreiber vorteilhaft sein. </w:t>
      </w:r>
      <w:r w:rsidR="00840179">
        <w:t>Die Anwendung der netzwirksamen Leistung</w:t>
      </w:r>
      <w:r w:rsidR="00AB0277">
        <w:t xml:space="preserve"> im regulatorischen Rahmen</w:t>
      </w:r>
      <w:r w:rsidR="00840179">
        <w:t xml:space="preserve"> erfordert jedoch eine sorgfältige Prüfung der </w:t>
      </w:r>
      <w:r w:rsidR="001D2654">
        <w:t>in den relevanten</w:t>
      </w:r>
      <w:r w:rsidR="00585978">
        <w:t xml:space="preserve"> </w:t>
      </w:r>
      <w:r w:rsidR="001D2654">
        <w:t xml:space="preserve">Rechtsakten </w:t>
      </w:r>
      <w:r w:rsidR="00585978">
        <w:t>verwende</w:t>
      </w:r>
      <w:r w:rsidR="00CC52BD">
        <w:t>te</w:t>
      </w:r>
      <w:r w:rsidR="00585978">
        <w:t>n Leistungsbegriffe.</w:t>
      </w:r>
      <w:r w:rsidR="0005763A">
        <w:t xml:space="preserve"> </w:t>
      </w:r>
      <w:r w:rsidR="001D2654">
        <w:t>Es wird daher eine</w:t>
      </w:r>
      <w:r w:rsidR="00D31E22">
        <w:t xml:space="preserve"> Übersicht der verschiedenen Leistungsbegriffe </w:t>
      </w:r>
      <w:r w:rsidR="001D2654">
        <w:t>erarbeitet</w:t>
      </w:r>
      <w:r w:rsidR="00585978">
        <w:t xml:space="preserve">, </w:t>
      </w:r>
      <w:r w:rsidR="001D2654">
        <w:t>anhand derer eine zielgerichtete Verwendung der netzwirksamen Leistung diskutiert wird</w:t>
      </w:r>
      <w:r w:rsidR="00585978">
        <w:t xml:space="preserve">. </w:t>
      </w:r>
    </w:p>
    <w:p w14:paraId="153DAB62" w14:textId="77777777" w:rsidR="005E4D4F" w:rsidRPr="005E4D4F" w:rsidRDefault="005E4D4F" w:rsidP="00227125"/>
    <w:p w14:paraId="79E4909C" w14:textId="77777777" w:rsidR="005E4D4F" w:rsidRPr="005E4D4F" w:rsidRDefault="005E4D4F" w:rsidP="005E4D4F">
      <w:pPr>
        <w:pStyle w:val="Ueberschrift"/>
      </w:pPr>
      <w:r w:rsidRPr="005E4D4F">
        <w:t>Ergebnisse und Schlussfolgerungen</w:t>
      </w:r>
    </w:p>
    <w:p w14:paraId="2A0D572F" w14:textId="12ABB08E" w:rsidR="00F947B8" w:rsidRDefault="009E5C61" w:rsidP="00BC4266">
      <w:r>
        <w:t xml:space="preserve">Das Konzept der netzwirksamen Leistung sieht vor, dass </w:t>
      </w:r>
      <w:r>
        <w:rPr>
          <w:lang w:val="de-AT"/>
        </w:rPr>
        <w:t>– unabhängig von den in Kundenanlagen installierten Verbrauchs- und Erzeugungsleistungen – ausschließlich die am Netzanschlusspunkt maximal wirksamen Leistungsflüsse für die Bemessung von Entgelten herangezogen w</w:t>
      </w:r>
      <w:r w:rsidR="005D5A6B">
        <w:rPr>
          <w:lang w:val="de-AT"/>
        </w:rPr>
        <w:t>e</w:t>
      </w:r>
      <w:r>
        <w:rPr>
          <w:lang w:val="de-AT"/>
        </w:rPr>
        <w:t>rd</w:t>
      </w:r>
      <w:r w:rsidR="005D5A6B">
        <w:rPr>
          <w:lang w:val="de-AT"/>
        </w:rPr>
        <w:t>en</w:t>
      </w:r>
      <w:r>
        <w:rPr>
          <w:lang w:val="de-AT"/>
        </w:rPr>
        <w:t xml:space="preserve"> und nicht etwa die Engpassleistung </w:t>
      </w:r>
      <w:r w:rsidR="004B36D6">
        <w:rPr>
          <w:lang w:val="de-AT"/>
        </w:rPr>
        <w:t xml:space="preserve">(Maximalkapazität) </w:t>
      </w:r>
      <w:r>
        <w:rPr>
          <w:lang w:val="de-AT"/>
        </w:rPr>
        <w:t xml:space="preserve">der </w:t>
      </w:r>
      <w:r w:rsidR="00CC52BD">
        <w:rPr>
          <w:lang w:val="de-AT"/>
        </w:rPr>
        <w:t>St</w:t>
      </w:r>
      <w:r w:rsidR="00020AD7">
        <w:rPr>
          <w:lang w:val="de-AT"/>
        </w:rPr>
        <w:t>r</w:t>
      </w:r>
      <w:r w:rsidR="00CC52BD">
        <w:rPr>
          <w:lang w:val="de-AT"/>
        </w:rPr>
        <w:t>ome</w:t>
      </w:r>
      <w:r>
        <w:rPr>
          <w:lang w:val="de-AT"/>
        </w:rPr>
        <w:t xml:space="preserve">rzeugungsanlagen. </w:t>
      </w:r>
      <w:r w:rsidR="001D2654">
        <w:t>Bei den in Gesetzen und Verordnungen verwendeten Leistungsbegriffen</w:t>
      </w:r>
      <w:r w:rsidR="00F947B8">
        <w:t xml:space="preserve"> (wie bspw. „Engpassleistung“, „Anschlussleistung“, „installierte Leistung“)</w:t>
      </w:r>
      <w:r w:rsidR="001D2654">
        <w:t xml:space="preserve"> ist</w:t>
      </w:r>
      <w:r>
        <w:t xml:space="preserve"> jedoch</w:t>
      </w:r>
      <w:r w:rsidR="001D2654">
        <w:t xml:space="preserve"> zwischen folgenden Anwendungsbereichen zu unterscheiden: </w:t>
      </w:r>
    </w:p>
    <w:p w14:paraId="742CBD72" w14:textId="0F6F75F3" w:rsidR="00F947B8" w:rsidRDefault="00F947B8" w:rsidP="004E1EB7">
      <w:pPr>
        <w:pStyle w:val="Listenabsatz"/>
        <w:numPr>
          <w:ilvl w:val="0"/>
          <w:numId w:val="7"/>
        </w:numPr>
      </w:pPr>
      <w:r>
        <w:t>Leistungsabhängige Entgelte</w:t>
      </w:r>
      <w:r w:rsidR="001E76F1">
        <w:t xml:space="preserve"> gemäß Systemnutzungsentgelte-Verordnung [5] und sonstige Regelungen </w:t>
      </w:r>
      <w:r w:rsidR="00AB0277">
        <w:t>bzgl. Kostenverteilung</w:t>
      </w:r>
      <w:r w:rsidR="001E76F1">
        <w:t xml:space="preserve"> (bspw. Schwellwerte für die Befreiungen von bestimmten Abgaben)</w:t>
      </w:r>
    </w:p>
    <w:p w14:paraId="100F8DEE" w14:textId="3EB31592" w:rsidR="004B36D6" w:rsidRDefault="00AB0277" w:rsidP="004E1EB7">
      <w:pPr>
        <w:pStyle w:val="Listenabsatz"/>
        <w:numPr>
          <w:ilvl w:val="0"/>
          <w:numId w:val="7"/>
        </w:numPr>
      </w:pPr>
      <w:r>
        <w:t>V</w:t>
      </w:r>
      <w:r w:rsidRPr="00AB0277">
        <w:t>ereinbartes bzw. erworbenes Ausmaß für die Inanspruchnahme des Netzes (Netznutzungsrecht)</w:t>
      </w:r>
      <w:r>
        <w:t xml:space="preserve"> bzw. </w:t>
      </w:r>
      <w:r w:rsidR="00197F7A">
        <w:t xml:space="preserve">bei der </w:t>
      </w:r>
      <w:r w:rsidR="001E76F1">
        <w:t>Netzanschluss</w:t>
      </w:r>
      <w:r>
        <w:t>beurteilung durch Netzbetreiber</w:t>
      </w:r>
      <w:r w:rsidR="001E76F1">
        <w:t xml:space="preserve"> </w:t>
      </w:r>
      <w:r>
        <w:t>zu berücksichtigende</w:t>
      </w:r>
      <w:r w:rsidR="001E76F1">
        <w:t xml:space="preserve"> Erzeugungs- oder Verbrauchsleistung</w:t>
      </w:r>
    </w:p>
    <w:p w14:paraId="3E5375C8" w14:textId="14E3B1CD" w:rsidR="00AB0277" w:rsidRDefault="00AB0277" w:rsidP="004E1EB7">
      <w:pPr>
        <w:pStyle w:val="Listenabsatz"/>
        <w:numPr>
          <w:ilvl w:val="0"/>
          <w:numId w:val="7"/>
        </w:numPr>
      </w:pPr>
      <w:r>
        <w:lastRenderedPageBreak/>
        <w:t xml:space="preserve">Technische Anforderungen an Stromerzeugungsanlagen (welche gemäß RfG Code [6] für vier </w:t>
      </w:r>
      <w:r w:rsidR="004E49EF">
        <w:t xml:space="preserve">Größenklassen </w:t>
      </w:r>
      <w:r>
        <w:t>definiert werden und für Anlagen größeren Leistung umfangreichere Anforderungen vorsehen)</w:t>
      </w:r>
    </w:p>
    <w:p w14:paraId="42FE2D7D" w14:textId="0F275D45" w:rsidR="009E5C61" w:rsidRDefault="00AB0277" w:rsidP="00BC4266">
      <w:r>
        <w:t>D</w:t>
      </w:r>
      <w:r w:rsidR="000B258C">
        <w:t>ie Anwendung der netzwirksamen Leistung</w:t>
      </w:r>
      <w:r w:rsidR="001E76F1">
        <w:t xml:space="preserve"> im </w:t>
      </w:r>
      <w:r>
        <w:t>Anwendungsbereich 2 setzt voraus, dass eine Überschreitung der vereinbarten Leistung durch vom Netzbenutzer vorzusehende technische Maßnahmen verhindert wird. Ist diese Voraussetzung erfüllt, erscheint eine Anwendung des (ggf. regelungstechnisch beschränkten) Leistungswertes für die Berechnung von Entgelten gerechtfertigt. Somit wird der angestrebte Anreiz zur Umsetzung netzentlastende</w:t>
      </w:r>
      <w:r w:rsidR="009E5C61">
        <w:t>r</w:t>
      </w:r>
      <w:r>
        <w:t xml:space="preserve"> Maßnahmen</w:t>
      </w:r>
      <w:r w:rsidR="009E5C61">
        <w:t xml:space="preserve"> </w:t>
      </w:r>
      <w:r w:rsidR="009E5C61">
        <w:rPr>
          <w:lang w:val="de-AT"/>
        </w:rPr>
        <w:t xml:space="preserve">(Eigenverbrauchsoptimierung, dargebotsabhängige Steuerung von Lasten, netzdienlicher Einsatz von Speichern etc.) </w:t>
      </w:r>
      <w:r>
        <w:t>geschaffen</w:t>
      </w:r>
      <w:r w:rsidR="009E5C61">
        <w:t xml:space="preserve">. </w:t>
      </w:r>
      <w:r w:rsidR="00B93E09">
        <w:t xml:space="preserve">Solche Entlastungen erscheinen hinsichtlich der Herausforderung, </w:t>
      </w:r>
      <w:r w:rsidR="009E5C61">
        <w:t>erneuerbare Stromerzeugungsanlagen</w:t>
      </w:r>
      <w:r w:rsidR="00B93E09">
        <w:t xml:space="preserve"> in großem Umfang in </w:t>
      </w:r>
      <w:r w:rsidR="009E5C61">
        <w:t>zunehmend hochausgelastete Verteilernetze</w:t>
      </w:r>
      <w:r w:rsidR="00B93E09">
        <w:t xml:space="preserve"> zu integrieren und gleichzeitig die Elektrifizierung von Verkehr, </w:t>
      </w:r>
      <w:r w:rsidR="009212E5">
        <w:t>R</w:t>
      </w:r>
      <w:r w:rsidR="00B93E09">
        <w:t xml:space="preserve">aumwärme und industriellen Prozessen voranzutreiben, dringend notwendig. </w:t>
      </w:r>
    </w:p>
    <w:p w14:paraId="57AA9027" w14:textId="0C4E9ADD" w:rsidR="00F129C1" w:rsidRDefault="00B93E09" w:rsidP="00BC4266">
      <w:r>
        <w:t>Als potenziell nachteiliger Effekt der Anwendung der netzwirksamen Leistung ist zu erwähnen, dass eine lokale Optimierung innerhalb von Kundenanlagen und Minimierung der</w:t>
      </w:r>
      <w:r w:rsidR="009212E5">
        <w:t xml:space="preserve"> </w:t>
      </w:r>
      <w:r>
        <w:t>Einspeise</w:t>
      </w:r>
      <w:r w:rsidR="005D5A6B">
        <w:t>-</w:t>
      </w:r>
      <w:r>
        <w:t xml:space="preserve"> und Bezugsleistung</w:t>
      </w:r>
      <w:r w:rsidR="009212E5">
        <w:t xml:space="preserve"> am Netzanschlusspunkt</w:t>
      </w:r>
      <w:r>
        <w:t xml:space="preserve"> tendenziell nachteilige Effekte auf die Vermarktbarkeit von Flexibilität</w:t>
      </w:r>
      <w:r w:rsidR="009212E5">
        <w:t>en</w:t>
      </w:r>
      <w:r>
        <w:t xml:space="preserve"> hat. </w:t>
      </w:r>
      <w:r w:rsidR="009212E5">
        <w:t xml:space="preserve">Im Rahmen dieses Beitrags erfolgt eine </w:t>
      </w:r>
      <w:r>
        <w:t xml:space="preserve">nähere </w:t>
      </w:r>
      <w:r w:rsidR="002E4947">
        <w:t xml:space="preserve">Betrachtung der </w:t>
      </w:r>
      <w:r w:rsidR="009212E5">
        <w:t xml:space="preserve">konkreten Umsetzung sowie von </w:t>
      </w:r>
      <w:r>
        <w:t>Vor- und Nachteile</w:t>
      </w:r>
      <w:r w:rsidR="009212E5">
        <w:t>n</w:t>
      </w:r>
      <w:r>
        <w:t xml:space="preserve"> </w:t>
      </w:r>
      <w:r w:rsidR="009D259F">
        <w:t xml:space="preserve">des Konzepts </w:t>
      </w:r>
      <w:r>
        <w:t>der netzwirksamen Leistung</w:t>
      </w:r>
      <w:r w:rsidR="00F129C1">
        <w:t xml:space="preserve">. </w:t>
      </w:r>
    </w:p>
    <w:p w14:paraId="6850DA77" w14:textId="77777777" w:rsidR="00F129C1" w:rsidRDefault="00F129C1" w:rsidP="00BC4266"/>
    <w:p w14:paraId="45ACD265" w14:textId="77777777" w:rsidR="00F129C1" w:rsidRDefault="00F129C1" w:rsidP="00BC4266"/>
    <w:p w14:paraId="6085C55E" w14:textId="77777777" w:rsidR="002946B8" w:rsidRPr="00803917" w:rsidRDefault="002946B8" w:rsidP="00227125"/>
    <w:p w14:paraId="06F19A2B" w14:textId="3F7BEE06" w:rsidR="005E4D4F" w:rsidRDefault="005E4D4F" w:rsidP="00A156E4">
      <w:pPr>
        <w:pStyle w:val="Ueberschrift"/>
      </w:pPr>
      <w:bookmarkStart w:id="0" w:name="_Toc26086066"/>
      <w:bookmarkStart w:id="1" w:name="_Toc68418491"/>
      <w:r w:rsidRPr="005E4D4F">
        <w:t>Literatur</w:t>
      </w:r>
      <w:bookmarkEnd w:id="0"/>
      <w:bookmarkEnd w:id="1"/>
    </w:p>
    <w:p w14:paraId="0F2CE615" w14:textId="6A68D831" w:rsidR="007F74DC" w:rsidRPr="006C5C7E" w:rsidRDefault="00197F7A" w:rsidP="000F7FEE">
      <w:pPr>
        <w:pStyle w:val="Referenzen"/>
        <w:tabs>
          <w:tab w:val="clear" w:pos="360"/>
        </w:tabs>
        <w:rPr>
          <w:lang w:val="en-GB"/>
        </w:rPr>
      </w:pPr>
      <w:bookmarkStart w:id="2" w:name="_Ref118970172"/>
      <w:r>
        <w:rPr>
          <w:lang w:val="de-DE"/>
        </w:rPr>
        <w:t>Bundesgesetz über die Regulierungsbehörde in der Elektrizitäts- und Erdgaswirtschaft (Energie-Control-Gesetz – E-ControlG</w:t>
      </w:r>
      <w:r w:rsidR="006C5C7E">
        <w:rPr>
          <w:lang w:val="de-DE"/>
        </w:rPr>
        <w:t xml:space="preserve">), BGBI. </w:t>
      </w:r>
      <w:r w:rsidR="006C5C7E" w:rsidRPr="006C5C7E">
        <w:rPr>
          <w:lang w:val="en-GB"/>
        </w:rPr>
        <w:t>I Nr. 7/2022</w:t>
      </w:r>
      <w:r w:rsidR="000F7FEE" w:rsidRPr="006C5C7E">
        <w:rPr>
          <w:lang w:val="en-GB"/>
        </w:rPr>
        <w:t xml:space="preserve">, </w:t>
      </w:r>
      <w:hyperlink r:id="rId8" w:history="1">
        <w:r w:rsidR="000F7FEE" w:rsidRPr="006C5C7E">
          <w:rPr>
            <w:rStyle w:val="Hyperlink"/>
            <w:lang w:val="en-GB"/>
          </w:rPr>
          <w:t>https://www.ris.bka.gv.at/GeltendeFassung.wxe?Abfrage=Bundesnormen&amp;Gesetzesnummer=20007046</w:t>
        </w:r>
      </w:hyperlink>
      <w:bookmarkEnd w:id="2"/>
      <w:r w:rsidR="000F7FEE" w:rsidRPr="006C5C7E">
        <w:rPr>
          <w:lang w:val="en-GB"/>
        </w:rPr>
        <w:t xml:space="preserve"> </w:t>
      </w:r>
      <w:bookmarkStart w:id="3" w:name="_Ref118970190"/>
    </w:p>
    <w:p w14:paraId="745EFB44" w14:textId="36A8AC92" w:rsidR="007F74DC" w:rsidRPr="007F74DC" w:rsidRDefault="00FB6153" w:rsidP="000F7FEE">
      <w:pPr>
        <w:pStyle w:val="Referenzen"/>
        <w:tabs>
          <w:tab w:val="clear" w:pos="360"/>
        </w:tabs>
        <w:rPr>
          <w:lang w:val="de-DE"/>
        </w:rPr>
      </w:pPr>
      <w:r w:rsidRPr="00FB6153">
        <w:t>#mission2030: Die österreichische Klima- und Energiestrategie</w:t>
      </w:r>
      <w:r>
        <w:t xml:space="preserve">, </w:t>
      </w:r>
      <w:bookmarkStart w:id="4" w:name="_Ref118985855"/>
      <w:r>
        <w:fldChar w:fldCharType="begin"/>
      </w:r>
      <w:r>
        <w:instrText xml:space="preserve"> HYPERLINK "</w:instrText>
      </w:r>
      <w:r w:rsidRPr="00FB6153">
        <w:instrText>https://www.bundeskanzleramt.gv.at/dam/jcr:903d5cf5-c3ac-47b6-871c-c83eae34b273/20_18_beilagen_nb.pdf</w:instrText>
      </w:r>
      <w:r>
        <w:instrText xml:space="preserve">" </w:instrText>
      </w:r>
      <w:r>
        <w:fldChar w:fldCharType="separate"/>
      </w:r>
      <w:r w:rsidRPr="00FB6153">
        <w:rPr>
          <w:rStyle w:val="Hyperlink"/>
        </w:rPr>
        <w:t>https://www.bundeskanzleramt.gv.at/dam/jcr:903d5cf5-c3ac-47b6-871c-c83eae34b273/20_18_beilagen_nb.pdf</w:t>
      </w:r>
      <w:bookmarkEnd w:id="4"/>
      <w:r>
        <w:fldChar w:fldCharType="end"/>
      </w:r>
    </w:p>
    <w:p w14:paraId="48C83A47" w14:textId="76D23219" w:rsidR="000F7FEE" w:rsidRPr="000F7FEE" w:rsidRDefault="00046647" w:rsidP="000F7FEE">
      <w:pPr>
        <w:pStyle w:val="Referenzen"/>
        <w:tabs>
          <w:tab w:val="clear" w:pos="360"/>
        </w:tabs>
        <w:rPr>
          <w:lang w:val="de-DE"/>
        </w:rPr>
      </w:pPr>
      <w:bookmarkStart w:id="5" w:name="_Ref118985863"/>
      <w:r w:rsidRPr="00CC52BD">
        <w:rPr>
          <w:lang w:val="de-DE"/>
        </w:rPr>
        <w:t xml:space="preserve">Trinkner U., Mattmann M., Stroot M., Meyer M., </w:t>
      </w:r>
      <w:r w:rsidRPr="00046647">
        <w:t xml:space="preserve">Ulbig </w:t>
      </w:r>
      <w:r>
        <w:t xml:space="preserve">A., </w:t>
      </w:r>
      <w:r w:rsidR="000F7FEE">
        <w:t>Beurteilung des Netzanschlusses und der Netzanschlusskapazitäten in Österreich,</w:t>
      </w:r>
      <w:r>
        <w:t xml:space="preserve"> Swiss Economics, RWTH Aachen,</w:t>
      </w:r>
      <w:hyperlink r:id="rId9" w:history="1">
        <w:r w:rsidR="000F7FEE" w:rsidRPr="00B00FD3">
          <w:rPr>
            <w:rStyle w:val="Hyperlink"/>
          </w:rPr>
          <w:t>https://www.e-control.at/documents/1785851/1811582/2022_SE_IAEW_Kurzbericht_E_Control</w:t>
        </w:r>
        <w:r w:rsidR="000F7FEE" w:rsidRPr="00B00FD3">
          <w:rPr>
            <w:rStyle w:val="Hyperlink"/>
          </w:rPr>
          <w:br/>
          <w:t>_Netzanschlusskapazitaeten.pdf/1e803936-48c3-af37-379e-f4d8c2b64399?t=1664344957889</w:t>
        </w:r>
      </w:hyperlink>
      <w:bookmarkEnd w:id="5"/>
      <w:r w:rsidR="000F7FEE">
        <w:t xml:space="preserve"> </w:t>
      </w:r>
    </w:p>
    <w:bookmarkEnd w:id="3"/>
    <w:p w14:paraId="426FBCB6" w14:textId="14F9F1FC" w:rsidR="000F7FEE" w:rsidRDefault="00E037B9" w:rsidP="00FB6153">
      <w:pPr>
        <w:pStyle w:val="Referenzen"/>
        <w:tabs>
          <w:tab w:val="clear" w:pos="360"/>
        </w:tabs>
        <w:rPr>
          <w:lang w:val="de-DE"/>
        </w:rPr>
      </w:pPr>
      <w:r w:rsidRPr="004E1EB7">
        <w:rPr>
          <w:lang w:val="de-DE"/>
        </w:rPr>
        <w:t xml:space="preserve">Website der </w:t>
      </w:r>
      <w:r w:rsidRPr="00E037B9">
        <w:rPr>
          <w:lang w:val="de-DE"/>
        </w:rPr>
        <w:t xml:space="preserve">E-Control, </w:t>
      </w:r>
      <w:r w:rsidRPr="004E1EB7">
        <w:rPr>
          <w:lang w:val="de-DE"/>
        </w:rPr>
        <w:t>Die Network Codes / Guidelines (NCs/GLs)</w:t>
      </w:r>
      <w:r>
        <w:rPr>
          <w:lang w:val="de-DE"/>
        </w:rPr>
        <w:t>,</w:t>
      </w:r>
      <w:r w:rsidRPr="004E1EB7">
        <w:rPr>
          <w:lang w:val="de-DE"/>
        </w:rPr>
        <w:t xml:space="preserve"> </w:t>
      </w:r>
      <w:hyperlink r:id="rId10" w:history="1">
        <w:r w:rsidRPr="006D4C0C">
          <w:rPr>
            <w:rStyle w:val="Hyperlink"/>
            <w:lang w:val="de-DE"/>
          </w:rPr>
          <w:t>https://www.e-control.at/marktteilnehmer/strom/network-codes-und-guidelines</w:t>
        </w:r>
      </w:hyperlink>
      <w:r>
        <w:rPr>
          <w:lang w:val="de-DE"/>
        </w:rPr>
        <w:t xml:space="preserve"> </w:t>
      </w:r>
    </w:p>
    <w:p w14:paraId="040ACA02" w14:textId="3EAF55F2" w:rsidR="001E76F1" w:rsidRPr="001E76F1" w:rsidRDefault="001E76F1" w:rsidP="002D6E21">
      <w:pPr>
        <w:pStyle w:val="Referenzen"/>
        <w:rPr>
          <w:lang w:val="de-DE"/>
        </w:rPr>
      </w:pPr>
      <w:r w:rsidRPr="001E76F1">
        <w:rPr>
          <w:lang w:val="de-DE"/>
        </w:rPr>
        <w:t>Verordnung der Regulierungskommission der E-Control, mit der die Entgelte für die Systemnutzung bestimmt werden (Systemnutzungsentgelte-Verordnung 2018 – SNE-V 2018)</w:t>
      </w:r>
      <w:r>
        <w:rPr>
          <w:lang w:val="de-DE"/>
        </w:rPr>
        <w:t>,</w:t>
      </w:r>
      <w:r w:rsidRPr="001E76F1">
        <w:rPr>
          <w:lang w:val="de-DE"/>
        </w:rPr>
        <w:t xml:space="preserve"> BGBl. II Nr. 398/2017</w:t>
      </w:r>
    </w:p>
    <w:p w14:paraId="25E1CA69" w14:textId="5CFC261B" w:rsidR="00F947B8" w:rsidRPr="00E037B9" w:rsidRDefault="00F947B8" w:rsidP="00FB6153">
      <w:pPr>
        <w:pStyle w:val="Referenzen"/>
        <w:tabs>
          <w:tab w:val="clear" w:pos="360"/>
        </w:tabs>
        <w:rPr>
          <w:lang w:val="de-DE"/>
        </w:rPr>
      </w:pPr>
      <w:r>
        <w:rPr>
          <w:lang w:val="de-DE"/>
        </w:rPr>
        <w:t>Verordnung</w:t>
      </w:r>
      <w:r w:rsidRPr="00F947B8">
        <w:rPr>
          <w:lang w:val="de-DE"/>
        </w:rPr>
        <w:t xml:space="preserve"> (EU) 2016/631 </w:t>
      </w:r>
      <w:r>
        <w:rPr>
          <w:lang w:val="de-DE"/>
        </w:rPr>
        <w:t>der Kommission</w:t>
      </w:r>
      <w:r w:rsidRPr="00F947B8">
        <w:rPr>
          <w:lang w:val="de-DE"/>
        </w:rPr>
        <w:t xml:space="preserve"> vom 14. April 2016 zur Festlegung eines Netzkodex mit Netzanschlussbestimmungen für Stromerzeuger</w:t>
      </w:r>
      <w:r>
        <w:rPr>
          <w:lang w:val="de-DE"/>
        </w:rPr>
        <w:t xml:space="preserve">. </w:t>
      </w:r>
      <w:r w:rsidRPr="00F947B8">
        <w:rPr>
          <w:lang w:val="de-DE"/>
        </w:rPr>
        <w:t>Amtsblatt der Europäischen Union</w:t>
      </w:r>
      <w:r>
        <w:rPr>
          <w:lang w:val="de-DE"/>
        </w:rPr>
        <w:t xml:space="preserve"> </w:t>
      </w:r>
      <w:r w:rsidRPr="00F947B8">
        <w:rPr>
          <w:lang w:val="de-DE"/>
        </w:rPr>
        <w:t>2016, Nr. L 112</w:t>
      </w:r>
      <w:r>
        <w:rPr>
          <w:lang w:val="de-DE"/>
        </w:rPr>
        <w:t>/</w:t>
      </w:r>
      <w:r w:rsidRPr="00F947B8">
        <w:rPr>
          <w:lang w:val="de-DE"/>
        </w:rPr>
        <w:t>1</w:t>
      </w:r>
    </w:p>
    <w:p w14:paraId="1067405D" w14:textId="77777777" w:rsidR="000F7FEE" w:rsidRPr="00E037B9" w:rsidRDefault="000F7FEE" w:rsidP="00A156E4">
      <w:pPr>
        <w:pStyle w:val="Ueberschrift"/>
      </w:pPr>
    </w:p>
    <w:sectPr w:rsidR="000F7FEE" w:rsidRPr="00E037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94F2" w14:textId="77777777" w:rsidR="00943644" w:rsidRDefault="00943644">
      <w:r>
        <w:separator/>
      </w:r>
    </w:p>
  </w:endnote>
  <w:endnote w:type="continuationSeparator" w:id="0">
    <w:p w14:paraId="53B7EEC6" w14:textId="77777777" w:rsidR="00943644" w:rsidRDefault="0094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09D0" w14:textId="77777777" w:rsidR="00943644" w:rsidRDefault="00943644">
      <w:r>
        <w:separator/>
      </w:r>
    </w:p>
  </w:footnote>
  <w:footnote w:type="continuationSeparator" w:id="0">
    <w:p w14:paraId="03FAEB6E" w14:textId="77777777" w:rsidR="00943644" w:rsidRDefault="00943644">
      <w:r>
        <w:continuationSeparator/>
      </w:r>
    </w:p>
  </w:footnote>
  <w:footnote w:id="1">
    <w:p w14:paraId="41F56366" w14:textId="2FEFD6CE" w:rsidR="00D53E86" w:rsidRPr="00FB69AE" w:rsidRDefault="00D53E86" w:rsidP="002014D3">
      <w:r w:rsidRPr="00A115D2">
        <w:rPr>
          <w:rStyle w:val="Funotenzeichen"/>
        </w:rPr>
        <w:footnoteRef/>
      </w:r>
      <w:r w:rsidRPr="00D53E86">
        <w:t xml:space="preserve"> </w:t>
      </w:r>
      <w:r w:rsidR="000F7FEE">
        <w:t>Energie-Control Austria</w:t>
      </w:r>
      <w:r w:rsidR="008A1044">
        <w:t xml:space="preserve"> </w:t>
      </w:r>
      <w:r w:rsidR="008A1044" w:rsidRPr="008A1044">
        <w:t>für die Regulierung der Elektrizitäts- und Erdgaswirtschaft</w:t>
      </w:r>
      <w:r w:rsidR="000F7FEE">
        <w:t xml:space="preserve">, Rudolfsplatz 13a, 1010 Wien, Tel +43 1 24724-0, Fax +43 1 24724-900, www.e-control.at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0D0E7C0D"/>
    <w:multiLevelType w:val="hybridMultilevel"/>
    <w:tmpl w:val="823EF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E2EE6"/>
    <w:multiLevelType w:val="hybridMultilevel"/>
    <w:tmpl w:val="FC12C4D6"/>
    <w:lvl w:ilvl="0" w:tplc="BCF6C3AE">
      <w:start w:val="1"/>
      <w:numFmt w:val="decimal"/>
      <w:pStyle w:val="Referenze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565578"/>
    <w:multiLevelType w:val="hybridMultilevel"/>
    <w:tmpl w:val="CD7EDCB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5D75967"/>
    <w:multiLevelType w:val="multilevel"/>
    <w:tmpl w:val="0978BA90"/>
    <w:numStyleLink w:val="Aufzhlung"/>
  </w:abstractNum>
  <w:abstractNum w:abstractNumId="6"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9718762">
    <w:abstractNumId w:val="2"/>
  </w:num>
  <w:num w:numId="2" w16cid:durableId="1553424156">
    <w:abstractNumId w:val="6"/>
  </w:num>
  <w:num w:numId="3" w16cid:durableId="150954414">
    <w:abstractNumId w:val="5"/>
  </w:num>
  <w:num w:numId="4" w16cid:durableId="664089460">
    <w:abstractNumId w:val="0"/>
  </w:num>
  <w:num w:numId="5" w16cid:durableId="115679811">
    <w:abstractNumId w:val="3"/>
  </w:num>
  <w:num w:numId="6" w16cid:durableId="329455120">
    <w:abstractNumId w:val="1"/>
  </w:num>
  <w:num w:numId="7" w16cid:durableId="897085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20AD7"/>
    <w:rsid w:val="00023DA8"/>
    <w:rsid w:val="00046647"/>
    <w:rsid w:val="00052B94"/>
    <w:rsid w:val="0005763A"/>
    <w:rsid w:val="00087853"/>
    <w:rsid w:val="000B258C"/>
    <w:rsid w:val="000F7FEE"/>
    <w:rsid w:val="0010435F"/>
    <w:rsid w:val="00105DC9"/>
    <w:rsid w:val="00125201"/>
    <w:rsid w:val="00192D16"/>
    <w:rsid w:val="00197F7A"/>
    <w:rsid w:val="001D2654"/>
    <w:rsid w:val="001E76F1"/>
    <w:rsid w:val="002014D3"/>
    <w:rsid w:val="00227125"/>
    <w:rsid w:val="00234460"/>
    <w:rsid w:val="00244169"/>
    <w:rsid w:val="00251547"/>
    <w:rsid w:val="002544FE"/>
    <w:rsid w:val="00262FD5"/>
    <w:rsid w:val="002759B0"/>
    <w:rsid w:val="00286D67"/>
    <w:rsid w:val="002946B8"/>
    <w:rsid w:val="002E4947"/>
    <w:rsid w:val="00335E63"/>
    <w:rsid w:val="0033607A"/>
    <w:rsid w:val="00350F98"/>
    <w:rsid w:val="003A3B2A"/>
    <w:rsid w:val="003B2696"/>
    <w:rsid w:val="003B676F"/>
    <w:rsid w:val="003C28FE"/>
    <w:rsid w:val="00445BDC"/>
    <w:rsid w:val="0048136C"/>
    <w:rsid w:val="00483B87"/>
    <w:rsid w:val="0049023D"/>
    <w:rsid w:val="004B36D6"/>
    <w:rsid w:val="004E1EB7"/>
    <w:rsid w:val="004E49EF"/>
    <w:rsid w:val="00572712"/>
    <w:rsid w:val="00585978"/>
    <w:rsid w:val="005B1ADB"/>
    <w:rsid w:val="005C60FD"/>
    <w:rsid w:val="005D5A6B"/>
    <w:rsid w:val="005E4D4F"/>
    <w:rsid w:val="00605CDB"/>
    <w:rsid w:val="00607186"/>
    <w:rsid w:val="006174AA"/>
    <w:rsid w:val="00623769"/>
    <w:rsid w:val="006541A5"/>
    <w:rsid w:val="00692789"/>
    <w:rsid w:val="006C18AC"/>
    <w:rsid w:val="006C5C7E"/>
    <w:rsid w:val="006D549B"/>
    <w:rsid w:val="006F44A3"/>
    <w:rsid w:val="00702AC9"/>
    <w:rsid w:val="007378C8"/>
    <w:rsid w:val="00741EC0"/>
    <w:rsid w:val="00743D6D"/>
    <w:rsid w:val="0074501E"/>
    <w:rsid w:val="00777F27"/>
    <w:rsid w:val="007F74DC"/>
    <w:rsid w:val="00803917"/>
    <w:rsid w:val="008236F3"/>
    <w:rsid w:val="00840179"/>
    <w:rsid w:val="00841C3A"/>
    <w:rsid w:val="008A0C65"/>
    <w:rsid w:val="008A1044"/>
    <w:rsid w:val="008D77ED"/>
    <w:rsid w:val="009212E5"/>
    <w:rsid w:val="009410D4"/>
    <w:rsid w:val="00943644"/>
    <w:rsid w:val="009D259F"/>
    <w:rsid w:val="009E4D6F"/>
    <w:rsid w:val="009E5C61"/>
    <w:rsid w:val="00A004BD"/>
    <w:rsid w:val="00A07737"/>
    <w:rsid w:val="00A156E4"/>
    <w:rsid w:val="00A320DB"/>
    <w:rsid w:val="00A360BA"/>
    <w:rsid w:val="00A6148D"/>
    <w:rsid w:val="00AB0277"/>
    <w:rsid w:val="00AB5375"/>
    <w:rsid w:val="00AE57B0"/>
    <w:rsid w:val="00B0607D"/>
    <w:rsid w:val="00B12F94"/>
    <w:rsid w:val="00B62879"/>
    <w:rsid w:val="00B93E09"/>
    <w:rsid w:val="00BC4266"/>
    <w:rsid w:val="00BD71C0"/>
    <w:rsid w:val="00BE516D"/>
    <w:rsid w:val="00BF05FA"/>
    <w:rsid w:val="00C07C3B"/>
    <w:rsid w:val="00C95807"/>
    <w:rsid w:val="00CC52BD"/>
    <w:rsid w:val="00CE1A70"/>
    <w:rsid w:val="00D31E22"/>
    <w:rsid w:val="00D53E86"/>
    <w:rsid w:val="00D54D63"/>
    <w:rsid w:val="00D736F8"/>
    <w:rsid w:val="00DE6A2E"/>
    <w:rsid w:val="00DF5013"/>
    <w:rsid w:val="00E037B9"/>
    <w:rsid w:val="00E15DBA"/>
    <w:rsid w:val="00E26C9B"/>
    <w:rsid w:val="00E520E6"/>
    <w:rsid w:val="00E6799A"/>
    <w:rsid w:val="00EB2EDA"/>
    <w:rsid w:val="00F129C1"/>
    <w:rsid w:val="00F200CE"/>
    <w:rsid w:val="00F70987"/>
    <w:rsid w:val="00F76464"/>
    <w:rsid w:val="00F947B8"/>
    <w:rsid w:val="00FA787E"/>
    <w:rsid w:val="00FB120A"/>
    <w:rsid w:val="00FB6153"/>
    <w:rsid w:val="00FB69AE"/>
    <w:rsid w:val="00FC4F2A"/>
    <w:rsid w:val="00FD5D56"/>
    <w:rsid w:val="00FE6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24C4"/>
  <w15:docId w15:val="{8F4D1F4A-4212-40D5-8366-17E7D25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qFormat/>
    <w:rsid w:val="002544FE"/>
    <w:pPr>
      <w:keepNext/>
      <w:spacing w:before="240" w:after="60" w:line="264" w:lineRule="auto"/>
      <w:outlineLvl w:val="0"/>
    </w:pPr>
    <w:rPr>
      <w:rFonts w:cs="Arial"/>
      <w:b/>
      <w:bCs/>
      <w:kern w:val="32"/>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uiPriority w:val="10"/>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uiPriority w:val="10"/>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Kommentarzeichen">
    <w:name w:val="annotation reference"/>
    <w:basedOn w:val="Absatz-Standardschriftart"/>
    <w:uiPriority w:val="99"/>
    <w:semiHidden/>
    <w:unhideWhenUsed/>
    <w:rsid w:val="002759B0"/>
    <w:rPr>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unhideWhenUsed/>
    <w:rsid w:val="002759B0"/>
    <w:rPr>
      <w:szCs w:val="20"/>
    </w:rPr>
  </w:style>
  <w:style w:type="character" w:customStyle="1" w:styleId="KommentartextZchn">
    <w:name w:val="Kommentartext Zchn"/>
    <w:basedOn w:val="Absatz-Standardschriftart"/>
    <w:link w:val="Kommentartext"/>
    <w:uiPriority w:val="99"/>
    <w:rsid w:val="002759B0"/>
    <w:rPr>
      <w:rFonts w:ascii="Arial" w:hAnsi="Arial"/>
      <w:lang w:eastAsia="ko-KR"/>
    </w:rPr>
  </w:style>
  <w:style w:type="paragraph" w:customStyle="1" w:styleId="Literatur">
    <w:name w:val="Literatur"/>
    <w:basedOn w:val="Standard"/>
    <w:rsid w:val="005E4D4F"/>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sid w:val="002759B0"/>
    <w:rPr>
      <w:b/>
      <w:bCs/>
    </w:rPr>
  </w:style>
  <w:style w:type="character" w:customStyle="1" w:styleId="KommentarthemaZchn">
    <w:name w:val="Kommentarthema Zchn"/>
    <w:basedOn w:val="KommentartextZchn"/>
    <w:link w:val="Kommentarthema"/>
    <w:uiPriority w:val="99"/>
    <w:semiHidden/>
    <w:rsid w:val="002759B0"/>
    <w:rPr>
      <w:rFonts w:ascii="Arial" w:hAnsi="Arial"/>
      <w:b/>
      <w:bCs/>
      <w:lang w:eastAsia="ko-KR"/>
    </w:rPr>
  </w:style>
  <w:style w:type="character" w:customStyle="1" w:styleId="berschrift1Zchn">
    <w:name w:val="Überschrift 1 Zchn"/>
    <w:basedOn w:val="Absatz-Standardschriftart"/>
    <w:link w:val="berschrift1"/>
    <w:rsid w:val="002544FE"/>
    <w:rPr>
      <w:rFonts w:ascii="Arial" w:hAnsi="Arial" w:cs="Arial"/>
      <w:b/>
      <w:bCs/>
      <w:kern w:val="32"/>
      <w:sz w:val="24"/>
      <w:szCs w:val="32"/>
    </w:rPr>
  </w:style>
  <w:style w:type="paragraph" w:customStyle="1" w:styleId="Referenzen">
    <w:name w:val="Referenzen"/>
    <w:basedOn w:val="Listenabsatz"/>
    <w:qFormat/>
    <w:rsid w:val="002544FE"/>
    <w:pPr>
      <w:numPr>
        <w:numId w:val="5"/>
      </w:numPr>
      <w:tabs>
        <w:tab w:val="num" w:pos="360"/>
      </w:tabs>
      <w:spacing w:after="120" w:line="264" w:lineRule="auto"/>
      <w:ind w:left="811" w:hanging="454"/>
      <w:contextualSpacing/>
      <w:jc w:val="left"/>
    </w:pPr>
    <w:rPr>
      <w:lang w:val="de-AT" w:eastAsia="de-DE"/>
    </w:rPr>
  </w:style>
  <w:style w:type="paragraph" w:customStyle="1" w:styleId="Autoren">
    <w:name w:val="Autoren"/>
    <w:basedOn w:val="Standard"/>
    <w:qFormat/>
    <w:rsid w:val="002544FE"/>
    <w:pPr>
      <w:spacing w:after="120" w:line="264" w:lineRule="auto"/>
      <w:jc w:val="center"/>
    </w:pPr>
    <w:rPr>
      <w:b/>
      <w:sz w:val="24"/>
      <w:lang w:eastAsia="de-DE"/>
    </w:rPr>
  </w:style>
  <w:style w:type="paragraph" w:customStyle="1" w:styleId="Organisation">
    <w:name w:val="Organisation"/>
    <w:basedOn w:val="Funotentext"/>
    <w:rsid w:val="002544FE"/>
    <w:pPr>
      <w:tabs>
        <w:tab w:val="left" w:pos="284"/>
      </w:tabs>
      <w:jc w:val="left"/>
    </w:pPr>
    <w:rPr>
      <w:lang w:eastAsia="de-DE"/>
    </w:rPr>
  </w:style>
  <w:style w:type="character" w:styleId="Hyperlink">
    <w:name w:val="Hyperlink"/>
    <w:uiPriority w:val="99"/>
    <w:unhideWhenUsed/>
    <w:rsid w:val="002544FE"/>
    <w:rPr>
      <w:color w:val="0000FF"/>
      <w:u w:val="single"/>
    </w:rPr>
  </w:style>
  <w:style w:type="paragraph" w:styleId="Listenabsatz">
    <w:name w:val="List Paragraph"/>
    <w:basedOn w:val="Standard"/>
    <w:uiPriority w:val="34"/>
    <w:qFormat/>
    <w:rsid w:val="002544FE"/>
    <w:pPr>
      <w:ind w:left="708"/>
    </w:pPr>
  </w:style>
  <w:style w:type="paragraph" w:styleId="Funotentext">
    <w:name w:val="footnote text"/>
    <w:basedOn w:val="Standard"/>
    <w:link w:val="FunotentextZchn"/>
    <w:uiPriority w:val="99"/>
    <w:semiHidden/>
    <w:unhideWhenUsed/>
    <w:rsid w:val="002544FE"/>
    <w:rPr>
      <w:szCs w:val="20"/>
    </w:rPr>
  </w:style>
  <w:style w:type="character" w:customStyle="1" w:styleId="FunotentextZchn">
    <w:name w:val="Fußnotentext Zchn"/>
    <w:basedOn w:val="Absatz-Standardschriftart"/>
    <w:link w:val="Funotentext"/>
    <w:uiPriority w:val="99"/>
    <w:semiHidden/>
    <w:rsid w:val="002544FE"/>
    <w:rPr>
      <w:rFonts w:ascii="Arial" w:hAnsi="Arial"/>
      <w:lang w:eastAsia="ko-KR"/>
    </w:rPr>
  </w:style>
  <w:style w:type="character" w:styleId="NichtaufgelsteErwhnung">
    <w:name w:val="Unresolved Mention"/>
    <w:basedOn w:val="Absatz-Standardschriftart"/>
    <w:uiPriority w:val="99"/>
    <w:semiHidden/>
    <w:unhideWhenUsed/>
    <w:rsid w:val="00572712"/>
    <w:rPr>
      <w:color w:val="605E5C"/>
      <w:shd w:val="clear" w:color="auto" w:fill="E1DFDD"/>
    </w:rPr>
  </w:style>
  <w:style w:type="character" w:styleId="BesuchterLink">
    <w:name w:val="FollowedHyperlink"/>
    <w:basedOn w:val="Absatz-Standardschriftart"/>
    <w:uiPriority w:val="99"/>
    <w:semiHidden/>
    <w:unhideWhenUsed/>
    <w:rsid w:val="00572712"/>
    <w:rPr>
      <w:color w:val="954F72" w:themeColor="followedHyperlink"/>
      <w:u w:val="single"/>
    </w:rPr>
  </w:style>
  <w:style w:type="paragraph" w:styleId="berarbeitung">
    <w:name w:val="Revision"/>
    <w:hidden/>
    <w:uiPriority w:val="99"/>
    <w:semiHidden/>
    <w:rsid w:val="008A1044"/>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6563">
      <w:bodyDiv w:val="1"/>
      <w:marLeft w:val="0"/>
      <w:marRight w:val="0"/>
      <w:marTop w:val="0"/>
      <w:marBottom w:val="0"/>
      <w:divBdr>
        <w:top w:val="none" w:sz="0" w:space="0" w:color="auto"/>
        <w:left w:val="none" w:sz="0" w:space="0" w:color="auto"/>
        <w:bottom w:val="none" w:sz="0" w:space="0" w:color="auto"/>
        <w:right w:val="none" w:sz="0" w:space="0" w:color="auto"/>
      </w:divBdr>
    </w:div>
    <w:div w:id="129894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20007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ontrol.at/marktteilnehmer/strom/network-codes-und-guidelines" TargetMode="External"/><Relationship Id="rId4" Type="http://schemas.openxmlformats.org/officeDocument/2006/relationships/settings" Target="settings.xml"/><Relationship Id="rId9" Type="http://schemas.openxmlformats.org/officeDocument/2006/relationships/hyperlink" Target="https://www.e-control.at/documents/1785851/1811582/2022_SE_IAEW_Kurzbericht_E_Control_Netzanschlusskapazitaeten.pdf/1e803936-48c3-af37-379e-f4d8c2b64399?t=16643449578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AA4D-40E5-42FD-A431-8183C48D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6350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7343</CharactersWithSpaces>
  <SharedDoc>false</SharedDoc>
  <HLinks>
    <vt:vector size="12" baseType="variant">
      <vt:variant>
        <vt:i4>6422583</vt:i4>
      </vt:variant>
      <vt:variant>
        <vt:i4>3</vt:i4>
      </vt:variant>
      <vt:variant>
        <vt:i4>0</vt:i4>
      </vt:variant>
      <vt:variant>
        <vt:i4>5</vt:i4>
      </vt:variant>
      <vt:variant>
        <vt:lpwstr>https://www.ris.bka.gv.at/GeltendeFassung.wxe?Abfrage=Bundesnormen&amp;Gesetzesnummer=20007045</vt:lpwstr>
      </vt:variant>
      <vt:variant>
        <vt:lpwstr/>
      </vt:variant>
      <vt:variant>
        <vt:i4>6357047</vt:i4>
      </vt:variant>
      <vt:variant>
        <vt:i4>0</vt:i4>
      </vt:variant>
      <vt:variant>
        <vt:i4>0</vt:i4>
      </vt:variant>
      <vt:variant>
        <vt:i4>5</vt:i4>
      </vt:variant>
      <vt:variant>
        <vt:lpwstr>https://www.ris.bka.gv.at/GeltendeFassung.wxe?Abfrage=Bundesnormen&amp;Gesetzesnummer=20007046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dc:description/>
  <cp:lastModifiedBy>Werderitsch Esther</cp:lastModifiedBy>
  <cp:revision>5</cp:revision>
  <cp:lastPrinted>2022-11-11T08:23:00Z</cp:lastPrinted>
  <dcterms:created xsi:type="dcterms:W3CDTF">2022-11-21T09:15:00Z</dcterms:created>
  <dcterms:modified xsi:type="dcterms:W3CDTF">2022-11-21T09:25:00Z</dcterms:modified>
</cp:coreProperties>
</file>