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7E80E" w14:textId="77777777" w:rsidR="005E4D4F" w:rsidRPr="00134E39" w:rsidRDefault="006A12A0" w:rsidP="005E4D4F">
      <w:pPr>
        <w:pStyle w:val="Abstract-Titel"/>
        <w:rPr>
          <w:lang w:val="en-US"/>
        </w:rPr>
      </w:pPr>
      <w:r w:rsidRPr="00134E39">
        <w:rPr>
          <w:lang w:val="en-US"/>
        </w:rPr>
        <w:t xml:space="preserve">Steel, ammonia, green </w:t>
      </w:r>
      <w:r w:rsidRPr="00134E39">
        <w:rPr>
          <w:color w:val="000000"/>
          <w:lang w:val="en-US"/>
        </w:rPr>
        <w:t>H</w:t>
      </w:r>
      <w:r w:rsidRPr="00134E39">
        <w:rPr>
          <w:color w:val="000000"/>
          <w:vertAlign w:val="subscript"/>
          <w:lang w:val="en-US"/>
        </w:rPr>
        <w:t>2</w:t>
      </w:r>
      <w:r w:rsidRPr="00134E39">
        <w:rPr>
          <w:lang w:val="en-US"/>
        </w:rPr>
        <w:t xml:space="preserve"> and </w:t>
      </w:r>
      <w:r w:rsidRPr="00134E39">
        <w:rPr>
          <w:lang w:val="en-US" w:eastAsia="de-DE"/>
        </w:rPr>
        <w:t>CO</w:t>
      </w:r>
      <w:r w:rsidRPr="00134E39">
        <w:rPr>
          <w:vertAlign w:val="subscript"/>
          <w:lang w:val="en-US" w:eastAsia="de-DE"/>
        </w:rPr>
        <w:t>2</w:t>
      </w:r>
      <w:r w:rsidRPr="00134E39">
        <w:rPr>
          <w:lang w:val="en-US"/>
        </w:rPr>
        <w:t xml:space="preserve"> – a pack of cards to create industrial symbiosis </w:t>
      </w:r>
      <w:r w:rsidR="00194A20" w:rsidRPr="00134E39">
        <w:rPr>
          <w:lang w:val="en-US"/>
        </w:rPr>
        <w:t xml:space="preserve">options </w:t>
      </w:r>
      <w:r w:rsidRPr="00134E39">
        <w:rPr>
          <w:lang w:val="en-US"/>
        </w:rPr>
        <w:t>in Upper Austria</w:t>
      </w:r>
    </w:p>
    <w:p w14:paraId="7B4E0DF7" w14:textId="77777777" w:rsidR="006A12A0" w:rsidRPr="00E32FFE" w:rsidRDefault="006A12A0" w:rsidP="00A156E4">
      <w:pPr>
        <w:pStyle w:val="AutorenOrganisation"/>
      </w:pPr>
      <w:r w:rsidRPr="00E32FFE">
        <w:t>Themenbereich: (5) Dekarbonisierung: Industriesektor</w:t>
      </w:r>
    </w:p>
    <w:p w14:paraId="7C7AB55D" w14:textId="77777777" w:rsidR="006A12A0" w:rsidRPr="00E32FFE" w:rsidRDefault="006A12A0" w:rsidP="00A156E4">
      <w:pPr>
        <w:pStyle w:val="AutorenOrganisation"/>
      </w:pPr>
    </w:p>
    <w:p w14:paraId="0A8C9BB6" w14:textId="77777777" w:rsidR="005E4D4F" w:rsidRPr="00E32FFE" w:rsidRDefault="009F094D" w:rsidP="00A156E4">
      <w:pPr>
        <w:pStyle w:val="AutorenOrganisation"/>
      </w:pPr>
      <w:r w:rsidRPr="00E32FFE">
        <w:t>Valerie</w:t>
      </w:r>
      <w:r w:rsidR="005E4D4F" w:rsidRPr="00E32FFE">
        <w:t xml:space="preserve"> </w:t>
      </w:r>
      <w:r w:rsidRPr="00E32FFE">
        <w:t>RODIN</w:t>
      </w:r>
      <w:r w:rsidR="005E4D4F" w:rsidRPr="00134E39">
        <w:rPr>
          <w:vertAlign w:val="superscript"/>
          <w:lang w:val="en-US"/>
        </w:rPr>
        <w:footnoteReference w:id="1"/>
      </w:r>
      <w:r w:rsidR="00A156E4" w:rsidRPr="00E32FFE">
        <w:rPr>
          <w:vertAlign w:val="superscript"/>
        </w:rPr>
        <w:t>(1)</w:t>
      </w:r>
      <w:r w:rsidR="005E4D4F" w:rsidRPr="00E32FFE">
        <w:t xml:space="preserve">, </w:t>
      </w:r>
      <w:r w:rsidRPr="00E32FFE">
        <w:t>Johannes</w:t>
      </w:r>
      <w:r w:rsidR="00010E92" w:rsidRPr="00E32FFE">
        <w:t xml:space="preserve"> </w:t>
      </w:r>
      <w:r w:rsidRPr="00E32FFE">
        <w:t>LINDORFER</w:t>
      </w:r>
      <w:r w:rsidR="00A156E4" w:rsidRPr="00E32FFE">
        <w:rPr>
          <w:vertAlign w:val="superscript"/>
        </w:rPr>
        <w:t>(</w:t>
      </w:r>
      <w:r w:rsidRPr="00E32FFE">
        <w:rPr>
          <w:vertAlign w:val="superscript"/>
        </w:rPr>
        <w:t>1</w:t>
      </w:r>
      <w:r w:rsidR="00A156E4" w:rsidRPr="00E32FFE">
        <w:rPr>
          <w:vertAlign w:val="superscript"/>
        </w:rPr>
        <w:t>)</w:t>
      </w:r>
      <w:r w:rsidRPr="00E32FFE">
        <w:t>, Andreas ZAUNER</w:t>
      </w:r>
      <w:r w:rsidRPr="00E32FFE">
        <w:rPr>
          <w:vertAlign w:val="superscript"/>
        </w:rPr>
        <w:t>(1)</w:t>
      </w:r>
      <w:r w:rsidRPr="00E32FFE">
        <w:t>, Oliver MAIER</w:t>
      </w:r>
      <w:r w:rsidRPr="00E32FFE">
        <w:rPr>
          <w:vertAlign w:val="superscript"/>
        </w:rPr>
        <w:t>(2)</w:t>
      </w:r>
    </w:p>
    <w:p w14:paraId="4F3E5063" w14:textId="77777777" w:rsidR="005E4D4F" w:rsidRPr="00E32FFE" w:rsidRDefault="00A156E4" w:rsidP="005E4D4F">
      <w:pPr>
        <w:pStyle w:val="AutorenOrganisation"/>
      </w:pPr>
      <w:r w:rsidRPr="00E32FFE">
        <w:rPr>
          <w:vertAlign w:val="superscript"/>
        </w:rPr>
        <w:t>(</w:t>
      </w:r>
      <w:r w:rsidR="00010E92" w:rsidRPr="00E32FFE">
        <w:rPr>
          <w:vertAlign w:val="superscript"/>
        </w:rPr>
        <w:t>1</w:t>
      </w:r>
      <w:r w:rsidRPr="00E32FFE">
        <w:rPr>
          <w:vertAlign w:val="superscript"/>
        </w:rPr>
        <w:t>)</w:t>
      </w:r>
      <w:r w:rsidR="009F094D" w:rsidRPr="00E32FFE">
        <w:rPr>
          <w:vertAlign w:val="superscript"/>
        </w:rPr>
        <w:t xml:space="preserve"> </w:t>
      </w:r>
      <w:r w:rsidR="009F094D" w:rsidRPr="00E32FFE">
        <w:t>Abteilung Energietechnik, Energieinstitut an der Johannes Kepler Universität Linz</w:t>
      </w:r>
    </w:p>
    <w:p w14:paraId="249EB371" w14:textId="77777777" w:rsidR="009F094D" w:rsidRPr="00134E39" w:rsidRDefault="009F094D" w:rsidP="005E4D4F">
      <w:pPr>
        <w:pStyle w:val="AutorenOrganisation"/>
        <w:rPr>
          <w:lang w:val="en-US"/>
        </w:rPr>
      </w:pPr>
      <w:r w:rsidRPr="0028593E">
        <w:rPr>
          <w:vertAlign w:val="superscript"/>
          <w:lang w:val="en-US"/>
        </w:rPr>
        <w:t>(2)</w:t>
      </w:r>
      <w:r w:rsidRPr="00134E39">
        <w:rPr>
          <w:lang w:val="en-US"/>
        </w:rPr>
        <w:t xml:space="preserve"> K1MET GmbH</w:t>
      </w:r>
    </w:p>
    <w:p w14:paraId="7756C8D8" w14:textId="77777777" w:rsidR="00A07737" w:rsidRPr="00134E39" w:rsidRDefault="00A07737" w:rsidP="00FB69AE">
      <w:pPr>
        <w:rPr>
          <w:lang w:val="en-US"/>
        </w:rPr>
      </w:pPr>
    </w:p>
    <w:p w14:paraId="5763FBA8" w14:textId="77777777" w:rsidR="005E4D4F" w:rsidRPr="00134E39" w:rsidRDefault="005E4D4F" w:rsidP="005E4D4F">
      <w:pPr>
        <w:pStyle w:val="Ueberschrift"/>
        <w:rPr>
          <w:lang w:val="en-US"/>
        </w:rPr>
      </w:pPr>
      <w:r w:rsidRPr="00134E39">
        <w:rPr>
          <w:lang w:val="en-US"/>
        </w:rPr>
        <w:t xml:space="preserve">Motivation </w:t>
      </w:r>
      <w:r w:rsidR="00134E39">
        <w:rPr>
          <w:lang w:val="en-US"/>
        </w:rPr>
        <w:t>a</w:t>
      </w:r>
      <w:r w:rsidRPr="00134E39">
        <w:rPr>
          <w:lang w:val="en-US"/>
        </w:rPr>
        <w:t xml:space="preserve">nd </w:t>
      </w:r>
      <w:r w:rsidR="00134E39">
        <w:rPr>
          <w:lang w:val="en-US"/>
        </w:rPr>
        <w:t>Central Questions</w:t>
      </w:r>
    </w:p>
    <w:p w14:paraId="54751856" w14:textId="77777777" w:rsidR="005E4D4F" w:rsidRPr="00134E39" w:rsidRDefault="00F46C89" w:rsidP="00227125">
      <w:pPr>
        <w:rPr>
          <w:lang w:val="en-US"/>
        </w:rPr>
      </w:pPr>
      <w:r w:rsidRPr="00134E39">
        <w:rPr>
          <w:lang w:val="en-US"/>
        </w:rPr>
        <w:t xml:space="preserve">The </w:t>
      </w:r>
      <w:r w:rsidR="007A1BED" w:rsidRPr="00134E39">
        <w:rPr>
          <w:lang w:val="en-US"/>
        </w:rPr>
        <w:t>EU</w:t>
      </w:r>
      <w:r w:rsidRPr="00134E39">
        <w:rPr>
          <w:lang w:val="en-US"/>
        </w:rPr>
        <w:t xml:space="preserve"> foresees circular economy</w:t>
      </w:r>
      <w:r w:rsidR="00AD6E93" w:rsidRPr="00134E39">
        <w:rPr>
          <w:lang w:val="en-US"/>
        </w:rPr>
        <w:t xml:space="preserve"> </w:t>
      </w:r>
      <w:r w:rsidR="00AD6E93" w:rsidRPr="00134E39">
        <w:rPr>
          <w:lang w:val="en-US"/>
        </w:rPr>
        <w:fldChar w:fldCharType="begin"/>
      </w:r>
      <w:r w:rsidR="00AD6E93" w:rsidRPr="00134E39">
        <w:rPr>
          <w:lang w:val="en-US"/>
        </w:rPr>
        <w:instrText xml:space="preserve"> ADDIN ZOTERO_ITEM CSL_CITATION {"citationID":"2JUaeUli","properties":{"formattedCitation":"[1]","plainCitation":"[1]","noteIndex":0},"citationItems":[{"id":1806,"uris":["http://zotero.org/groups/2782894/items/BK56RT2P"],"itemData":{"id":1806,"type":"report","language":"english","page":"28","title":"Circular Economy Action Plan #EUGreenDeal","URL":"https://ec.europa.eu/environment/pdf/circular-economy/new_circular_economy_action_plan.pdf","author":[{"literal":"European Commission"}],"accessed":{"date-parts":[["2022",2,4]]},"issued":{"date-parts":[["2020"]]}}}],"schema":"https://github.com/citation-style-language/schema/raw/master/csl-citation.json"} </w:instrText>
      </w:r>
      <w:r w:rsidR="00AD6E93" w:rsidRPr="00134E39">
        <w:rPr>
          <w:lang w:val="en-US"/>
        </w:rPr>
        <w:fldChar w:fldCharType="separate"/>
      </w:r>
      <w:r w:rsidR="00AD6E93" w:rsidRPr="00134E39">
        <w:rPr>
          <w:rFonts w:cs="Arial"/>
          <w:lang w:val="en-US"/>
        </w:rPr>
        <w:t>[1]</w:t>
      </w:r>
      <w:r w:rsidR="00AD6E93" w:rsidRPr="00134E39">
        <w:rPr>
          <w:lang w:val="en-US"/>
        </w:rPr>
        <w:fldChar w:fldCharType="end"/>
      </w:r>
      <w:r w:rsidRPr="00134E39">
        <w:rPr>
          <w:lang w:val="en-US"/>
        </w:rPr>
        <w:t xml:space="preserve"> approaches as a building brick to transform the European industry in a sustainable way. </w:t>
      </w:r>
      <w:r w:rsidR="007A1BED" w:rsidRPr="00134E39">
        <w:rPr>
          <w:lang w:val="en-US"/>
        </w:rPr>
        <w:t>N</w:t>
      </w:r>
      <w:r w:rsidRPr="00134E39">
        <w:rPr>
          <w:lang w:val="en-US"/>
        </w:rPr>
        <w:t xml:space="preserve">ew value chains, utilizing alternative resources, </w:t>
      </w:r>
      <w:r w:rsidR="00AD6E93" w:rsidRPr="00134E39">
        <w:rPr>
          <w:lang w:val="en-US"/>
        </w:rPr>
        <w:t>are needed</w:t>
      </w:r>
      <w:r w:rsidRPr="00134E39">
        <w:rPr>
          <w:lang w:val="en-US"/>
        </w:rPr>
        <w:t xml:space="preserve"> to sustain fundamental industrial sectors. Among these are the steel and fertilizer industries, which are important economic players in Austria. </w:t>
      </w:r>
      <w:r w:rsidR="007A1BED" w:rsidRPr="00134E39">
        <w:rPr>
          <w:lang w:val="en-US"/>
        </w:rPr>
        <w:t>As green hydrogen is at the heart of the</w:t>
      </w:r>
      <w:r w:rsidR="00AD6E93" w:rsidRPr="00134E39">
        <w:rPr>
          <w:lang w:val="en-US"/>
        </w:rPr>
        <w:t>ir</w:t>
      </w:r>
      <w:r w:rsidR="007A1BED" w:rsidRPr="00134E39">
        <w:rPr>
          <w:lang w:val="en-US"/>
        </w:rPr>
        <w:t xml:space="preserve"> transition processes, </w:t>
      </w:r>
      <w:r w:rsidR="00AD6E93" w:rsidRPr="00134E39">
        <w:rPr>
          <w:lang w:val="en-US"/>
        </w:rPr>
        <w:t xml:space="preserve">joint </w:t>
      </w:r>
      <w:r w:rsidR="007A1BED" w:rsidRPr="00134E39">
        <w:rPr>
          <w:lang w:val="en-US"/>
        </w:rPr>
        <w:t xml:space="preserve">questions rise, such as which amounts can be produced </w:t>
      </w:r>
      <w:r w:rsidR="00AD6E93" w:rsidRPr="00134E39">
        <w:rPr>
          <w:lang w:val="en-US"/>
        </w:rPr>
        <w:t xml:space="preserve">locally </w:t>
      </w:r>
      <w:r w:rsidR="007A1BED" w:rsidRPr="00134E39">
        <w:rPr>
          <w:lang w:val="en-US"/>
        </w:rPr>
        <w:t xml:space="preserve">from green electricity and which alternatives to on-site production are feasible in the long-term. </w:t>
      </w:r>
    </w:p>
    <w:p w14:paraId="2B3381D2" w14:textId="77777777" w:rsidR="007A1BED" w:rsidRPr="00134E39" w:rsidRDefault="007A1BED" w:rsidP="00227125">
      <w:pPr>
        <w:rPr>
          <w:lang w:val="en-US"/>
        </w:rPr>
      </w:pPr>
    </w:p>
    <w:p w14:paraId="0EA32F8F" w14:textId="3A2C6927" w:rsidR="00AD6E93" w:rsidRPr="00134E39" w:rsidRDefault="00134E39" w:rsidP="0028593E">
      <w:pPr>
        <w:pStyle w:val="Ueberschrift"/>
        <w:rPr>
          <w:lang w:val="en-US"/>
        </w:rPr>
      </w:pPr>
      <w:r>
        <w:rPr>
          <w:lang w:val="en-US"/>
        </w:rPr>
        <w:t>Method</w:t>
      </w:r>
    </w:p>
    <w:p w14:paraId="25643C72" w14:textId="77777777" w:rsidR="00AD6E93" w:rsidRPr="00134E39" w:rsidRDefault="00AD6E93" w:rsidP="00227125">
      <w:pPr>
        <w:rPr>
          <w:lang w:val="en-US"/>
        </w:rPr>
      </w:pPr>
      <w:r w:rsidRPr="00134E39">
        <w:rPr>
          <w:lang w:val="en-US"/>
        </w:rPr>
        <w:t xml:space="preserve">In Linz, steel and fertilizer companies operate fence-to-fence, facing similar challenges but also opportunities: Crude steel production is a great </w:t>
      </w:r>
      <w:r w:rsidRPr="00134E39">
        <w:rPr>
          <w:lang w:val="en-US" w:eastAsia="de-DE"/>
        </w:rPr>
        <w:t>CO</w:t>
      </w:r>
      <w:r w:rsidRPr="00134E39">
        <w:rPr>
          <w:vertAlign w:val="subscript"/>
          <w:lang w:val="en-US" w:eastAsia="de-DE"/>
        </w:rPr>
        <w:t>2</w:t>
      </w:r>
      <w:r w:rsidRPr="00134E39">
        <w:rPr>
          <w:lang w:val="en-US"/>
        </w:rPr>
        <w:t xml:space="preserve"> emitter and will need renewable hydrogen as reducing agent in the future</w:t>
      </w:r>
      <w:r w:rsidR="00752F6B" w:rsidRPr="00134E39">
        <w:rPr>
          <w:lang w:val="en-US"/>
        </w:rPr>
        <w:t xml:space="preserve"> </w:t>
      </w:r>
      <w:r w:rsidR="00752F6B" w:rsidRPr="00134E39">
        <w:rPr>
          <w:lang w:val="en-US"/>
        </w:rPr>
        <w:fldChar w:fldCharType="begin"/>
      </w:r>
      <w:r w:rsidR="00752F6B" w:rsidRPr="00134E39">
        <w:rPr>
          <w:lang w:val="en-US"/>
        </w:rPr>
        <w:instrText xml:space="preserve"> ADDIN ZOTERO_ITEM CSL_CITATION {"citationID":"vbGkUkB2","properties":{"formattedCitation":"[2]","plainCitation":"[2]","noteIndex":0},"citationItems":[{"id":1860,"uris":["http://zotero.org/groups/3761511/items/6X6U6NDT"],"itemData":{"id":1860,"type":"article-journal","abstract":"Abstract\n            \n              The EU commission has committed to fulfil the targets of greenhouse gas (GHG) emission reduction in 2050 by 80% in comparison to the level of 1990. The fulfilment of the EU’s climate policies brings new challenges for the iron and steel industry. The European steel industry is forced to develop strategies for the transition of their technology to a carbon lean production and to keep the competitiveness in the world market. The steel companies in EU27 are taking the challenge to secure the steel production in Europe and have launched innovation projects for CO\n              2\n              mitigation with the focus on the technological pathways Carbon Direct Avoidance (CDA) and Smart Carbon Usage (SCU), which are, beside Circular economy, defined as important pillars for CO\n              2\n              abatement in European steel industry. The transformation of the steel industry must go hand in hand with a decarbonisation of the energy supply and other industries within EU27.\n            \n          , \n            Zusammenfassung\n            \n              Die Europäische Kommission hat sich verpflichtet, eine schrittweise Verringerung der Treibhausgasemissionen voranzutreiben und bis zum Jahr 2050 eine Senkung um 80 % im Vergleich zum Level von 1990 umzusetzen. Die Eisen- und Stahlindustrie wird dadurch vor neue Herausforderungen gestellt und muss, um dieses Ziel zu erreichen, unter gleichzeitigem Erhalt der Wettbewerbsfähigkeit am Weltmarkt seine Verfahren kohlenstoffarm gestalten. Durch innovative Projekte bzw. Technologien soll eine Reduktion der CO\n              2\n              -Emissionen der europäischen Stahlindustrie realisiert werden. Neben der Kreislaufwirtschaft liegt der Fokus dabei vor allem auf den beiden Technologiepfaden Carbon Direct Avoidance (CDA) und Smart Carbon Usage (SCU). Zusätzlich zur Technologieverbesserung und -entwicklung in der Stahlindustrie ist die Dekarbonisierung des Energieversorgungsnetzes sowie weiterer anderer Sektoren essenziell.","container-title":"BHM Berg- und Hüttenmännische Monatshefte","DOI":"10.1007/s00501-020-00975-2","ISSN":"0005-8912, 1613-7531","issue":"5","journalAbbreviation":"Berg Huettenmaenn Monatsh","language":"en","page":"221-226","source":"DOI.org (Crossref)","title":"The Steel Industry in the European Union on the Crossroad to Carbon Lean Production—Status, Initiatives and Challenges","volume":"165","author":[{"family":"Draxler","given":"Monika"},{"family":"Schenk","given":"Johannes"},{"family":"Bürgler","given":"Thomas"},{"family":"Sormann","given":"Axel"}],"issued":{"date-parts":[["2020",5]]}}}],"schema":"https://github.com/citation-style-language/schema/raw/master/csl-citation.json"} </w:instrText>
      </w:r>
      <w:r w:rsidR="00752F6B" w:rsidRPr="00134E39">
        <w:rPr>
          <w:lang w:val="en-US"/>
        </w:rPr>
        <w:fldChar w:fldCharType="separate"/>
      </w:r>
      <w:r w:rsidR="00752F6B" w:rsidRPr="00134E39">
        <w:rPr>
          <w:rFonts w:cs="Arial"/>
          <w:lang w:val="en-US"/>
        </w:rPr>
        <w:t>[2]</w:t>
      </w:r>
      <w:r w:rsidR="00752F6B" w:rsidRPr="00134E39">
        <w:rPr>
          <w:lang w:val="en-US"/>
        </w:rPr>
        <w:fldChar w:fldCharType="end"/>
      </w:r>
      <w:r w:rsidRPr="00134E39">
        <w:rPr>
          <w:lang w:val="en-US"/>
        </w:rPr>
        <w:t>. For ammonia, hydrogen from natural gas is a key resource, in the future it also needs to be replaced by green hydrogen</w:t>
      </w:r>
      <w:r w:rsidR="00752F6B" w:rsidRPr="00134E39">
        <w:rPr>
          <w:lang w:val="en-US"/>
        </w:rPr>
        <w:t xml:space="preserve"> </w:t>
      </w:r>
      <w:r w:rsidR="00752F6B" w:rsidRPr="00134E39">
        <w:rPr>
          <w:lang w:val="en-US"/>
        </w:rPr>
        <w:fldChar w:fldCharType="begin"/>
      </w:r>
      <w:r w:rsidR="00752F6B" w:rsidRPr="00134E39">
        <w:rPr>
          <w:lang w:val="en-US"/>
        </w:rPr>
        <w:instrText xml:space="preserve"> ADDIN ZOTERO_ITEM CSL_CITATION {"citationID":"tkIZslBt","properties":{"formattedCitation":"[3]","plainCitation":"[3]","noteIndex":0},"citationItems":[{"id":1862,"uris":["http://zotero.org/groups/3761511/items/P8VC5FV8"],"itemData":{"id":1862,"type":"article-journal","archive_location":"I:\\Projekte\\CORALIS - TV0125\\L. WP8 Linz Case\\Literatur\\green premium fertilizers\\A Roadmap to the Ammonia Economy","container-title":"Joule","DOI":"10.1016/j.joule.2020.04.004","ISSN":"25424351","issue":"6","journalAbbreviation":"Joule","language":"en","page":"1186-1205","source":"DOI.org (Crossref)","title":"A Roadmap to the Ammonia Economy","volume":"4","author":[{"family":"MacFarlane","given":"Douglas R."},{"family":"Cherepanov","given":"Pavel V."},{"family":"Choi","given":"Jaecheol"},{"family":"Suryanto","given":"Bryan H.R."},{"family":"Hodgetts","given":"Rebecca Y."},{"family":"Bakker","given":"Jacinta M."},{"family":"Ferrero Vallana","given":"Federico M."},{"family":"Simonov","given":"Alexandr N."}],"issued":{"date-parts":[["2020",6]]}}}],"schema":"https://github.com/citation-style-language/schema/raw/master/csl-citation.json"} </w:instrText>
      </w:r>
      <w:r w:rsidR="00752F6B" w:rsidRPr="00134E39">
        <w:rPr>
          <w:lang w:val="en-US"/>
        </w:rPr>
        <w:fldChar w:fldCharType="separate"/>
      </w:r>
      <w:r w:rsidR="00752F6B" w:rsidRPr="00134E39">
        <w:rPr>
          <w:rFonts w:cs="Arial"/>
          <w:lang w:val="en-US"/>
        </w:rPr>
        <w:t>[3]</w:t>
      </w:r>
      <w:r w:rsidR="00752F6B" w:rsidRPr="00134E39">
        <w:rPr>
          <w:lang w:val="en-US"/>
        </w:rPr>
        <w:fldChar w:fldCharType="end"/>
      </w:r>
      <w:r w:rsidRPr="00134E39">
        <w:rPr>
          <w:lang w:val="en-US"/>
        </w:rPr>
        <w:t xml:space="preserve">. Furthermore, urea production is a large-scale </w:t>
      </w:r>
      <w:r w:rsidRPr="00134E39">
        <w:rPr>
          <w:lang w:val="en-US" w:eastAsia="de-DE"/>
        </w:rPr>
        <w:t>CO</w:t>
      </w:r>
      <w:r w:rsidRPr="00134E39">
        <w:rPr>
          <w:vertAlign w:val="subscript"/>
          <w:lang w:val="en-US" w:eastAsia="de-DE"/>
        </w:rPr>
        <w:t>2</w:t>
      </w:r>
      <w:r w:rsidRPr="00134E39">
        <w:rPr>
          <w:lang w:val="en-US"/>
        </w:rPr>
        <w:t xml:space="preserve"> consumer</w:t>
      </w:r>
      <w:r w:rsidR="00752F6B" w:rsidRPr="00134E39">
        <w:rPr>
          <w:lang w:val="en-US"/>
        </w:rPr>
        <w:t xml:space="preserve"> </w:t>
      </w:r>
      <w:r w:rsidR="00752F6B" w:rsidRPr="00134E39">
        <w:rPr>
          <w:lang w:val="en-US"/>
        </w:rPr>
        <w:fldChar w:fldCharType="begin"/>
      </w:r>
      <w:r w:rsidR="00A35AD9" w:rsidRPr="00134E39">
        <w:rPr>
          <w:lang w:val="en-US"/>
        </w:rPr>
        <w:instrText xml:space="preserve"> ADDIN ZOTERO_ITEM CSL_CITATION {"citationID":"nRBJFgOL","properties":{"formattedCitation":"[4]","plainCitation":"[4]","noteIndex":0},"citationItems":[{"id":2420,"uris":["http://zotero.org/groups/3761511/items/UNJWZHJD"],"itemData":{"id":2420,"type":"report","abstract":"New opportunities to use carbon dioxide (CO 2 ) in the development of products and services are capturing the attention of governments, industry and the investment community. Climate change mitigation is the primary driver for this increased interest, but other factors include technology leadership and supporting a circular economy. This analysis considers the near-term market potential for five key categories of CO 2 -derived products and services: fuels, chemicals, building materials from minerals, building materials from waste, and CO 2 use to enhance the yields of biological processes.\nWhile some technologies are still at an early stage of development, all five categories could individually be scaled-up to a market size of at least 10 MtCO 2 /yr – almost as much as the current CO 2 demand for food and beverages – but most face commercial and regulatory barriers. CO 2 use can support climate goals where the application is scalable, uses low-carbon\nenergy and displaces a product with higher life-cycle emissions. Some CO 2 -derived products also involve permanent carbon retention, in particular building materials. A better understanding and improved methodology to quantify the life-cycle climate benefits of CO 2 use applications are needed.\nThe market for CO 2 use is expected to remain relatively small in the short term, but early opportunities could be developed, especially those related to building materials. Public procurement of low-carbon products can help to create an early market for CO 2 -derived products and assist in the development of technical standards. In the long term, CO 2 sourced\nfrom biomass or the air could play a key role in a net-zero CO 2 emission economy, including as a carbon source for aviation fuels and chemicals.","language":"en","page":"86","title":"Putting CO2 to Use - Creating value from emissions","URL":"https://www.iea.org/reports/putting-co2-to-use","author":[{"literal":"International Energy Agency (IEA)"}],"accessed":{"date-parts":[["2022",10,31]]},"issued":{"date-parts":[["2019",9]]}}}],"schema":"https://github.com/citation-style-language/schema/raw/master/csl-citation.json"} </w:instrText>
      </w:r>
      <w:r w:rsidR="00752F6B" w:rsidRPr="00134E39">
        <w:rPr>
          <w:lang w:val="en-US"/>
        </w:rPr>
        <w:fldChar w:fldCharType="separate"/>
      </w:r>
      <w:r w:rsidR="00752F6B" w:rsidRPr="00134E39">
        <w:rPr>
          <w:rFonts w:cs="Arial"/>
          <w:lang w:val="en-US"/>
        </w:rPr>
        <w:t>[4]</w:t>
      </w:r>
      <w:r w:rsidR="00752F6B" w:rsidRPr="00134E39">
        <w:rPr>
          <w:lang w:val="en-US"/>
        </w:rPr>
        <w:fldChar w:fldCharType="end"/>
      </w:r>
      <w:r w:rsidRPr="00134E39">
        <w:rPr>
          <w:lang w:val="en-US"/>
        </w:rPr>
        <w:t xml:space="preserve"> – also a resource that is currently produced via steam reforming, thus, alternative </w:t>
      </w:r>
      <w:r w:rsidRPr="00134E39">
        <w:rPr>
          <w:lang w:val="en-US" w:eastAsia="de-DE"/>
        </w:rPr>
        <w:t>CO</w:t>
      </w:r>
      <w:r w:rsidRPr="00134E39">
        <w:rPr>
          <w:vertAlign w:val="subscript"/>
          <w:lang w:val="en-US" w:eastAsia="de-DE"/>
        </w:rPr>
        <w:t>2</w:t>
      </w:r>
      <w:r w:rsidRPr="00134E39">
        <w:rPr>
          <w:lang w:val="en-US"/>
        </w:rPr>
        <w:t xml:space="preserve"> sources need to be tapped. In the EU</w:t>
      </w:r>
      <w:r w:rsidR="00B4389F" w:rsidRPr="00134E39">
        <w:rPr>
          <w:lang w:val="en-US"/>
        </w:rPr>
        <w:t xml:space="preserve"> H2020 funded</w:t>
      </w:r>
      <w:r w:rsidR="00AF2D0E" w:rsidRPr="00134E39">
        <w:rPr>
          <w:lang w:val="en-US"/>
        </w:rPr>
        <w:t xml:space="preserve"> </w:t>
      </w:r>
      <w:r w:rsidRPr="00134E39">
        <w:rPr>
          <w:lang w:val="en-US"/>
        </w:rPr>
        <w:t xml:space="preserve">project CORALIS </w:t>
      </w:r>
      <w:r w:rsidRPr="00134E39">
        <w:rPr>
          <w:lang w:val="en-US"/>
        </w:rPr>
        <w:fldChar w:fldCharType="begin"/>
      </w:r>
      <w:r w:rsidR="00752F6B" w:rsidRPr="00134E39">
        <w:rPr>
          <w:lang w:val="en-US"/>
        </w:rPr>
        <w:instrText xml:space="preserve"> ADDIN ZOTERO_ITEM CSL_CITATION {"citationID":"xNNyYtgx","properties":{"formattedCitation":"[5]","plainCitation":"[5]","noteIndex":0},"citationItems":[{"id":2417,"uris":["http://zotero.org/groups/3761511/items/DB4SPINS"],"itemData":{"id":2417,"type":"webpage","abstract":"INDUSTRIAL SYMBIOSIS \n\nin Energy Intensive Industries \n\nThe main objective of CORALIS is to create pathways for the decarbonisation of resource and energy intensive sector value chains through the implementation of viable industrial symbiosis approaches combining new business and management strategies with innovative technology-based enablers.\n\nThis whole approach will be demonstrated in three real industrial areas covering","container-title":"CORALIS","genre":"project website","language":"en-GB","title":"CORALIS | project homepage","URL":"https://www.coralis-h2020.eu/","author":[{"literal":"CORALIS"}],"accessed":{"date-parts":[["2022",10,31]]},"issued":{"date-parts":[["2022"]]}}}],"schema":"https://github.com/citation-style-language/schema/raw/master/csl-citation.json"} </w:instrText>
      </w:r>
      <w:r w:rsidRPr="00134E39">
        <w:rPr>
          <w:lang w:val="en-US"/>
        </w:rPr>
        <w:fldChar w:fldCharType="separate"/>
      </w:r>
      <w:r w:rsidR="00752F6B" w:rsidRPr="00134E39">
        <w:rPr>
          <w:rFonts w:cs="Arial"/>
          <w:lang w:val="en-US"/>
        </w:rPr>
        <w:t>[5]</w:t>
      </w:r>
      <w:r w:rsidRPr="00134E39">
        <w:rPr>
          <w:lang w:val="en-US"/>
        </w:rPr>
        <w:fldChar w:fldCharType="end"/>
      </w:r>
      <w:r w:rsidRPr="00134E39">
        <w:rPr>
          <w:lang w:val="en-US"/>
        </w:rPr>
        <w:t>, different industrial symbiosis options for the Linz industrial site are assessed. For this, a stepwise approach was followed, consisting of individual interviews with and mediated discussions of the industrial players, process simulations and technoeconomic assessments. The goal was to narrow down a potpourri of synergy opportunities based on their technoeconomic feasibility and long-term sustainability in order to identify realizable solutions and open research questions. This industrial symbiosis development process is accompanied by research entities, which act as neutral facilitators.</w:t>
      </w:r>
    </w:p>
    <w:p w14:paraId="116F9D6F" w14:textId="77777777" w:rsidR="005E4D4F" w:rsidRPr="00134E39" w:rsidRDefault="005E4D4F" w:rsidP="00227125">
      <w:pPr>
        <w:rPr>
          <w:lang w:val="en-US"/>
        </w:rPr>
      </w:pPr>
    </w:p>
    <w:p w14:paraId="01F771C3" w14:textId="77777777" w:rsidR="005E4D4F" w:rsidRPr="00134E39" w:rsidRDefault="00134E39" w:rsidP="005E4D4F">
      <w:pPr>
        <w:pStyle w:val="Ueberschrift"/>
        <w:rPr>
          <w:lang w:val="en-US"/>
        </w:rPr>
      </w:pPr>
      <w:r>
        <w:rPr>
          <w:lang w:val="en-US"/>
        </w:rPr>
        <w:t>Results and Conclusion</w:t>
      </w:r>
    </w:p>
    <w:p w14:paraId="237497E6" w14:textId="119BD2EC" w:rsidR="00134E39" w:rsidRPr="00134E39" w:rsidRDefault="00134E39" w:rsidP="00227125">
      <w:pPr>
        <w:rPr>
          <w:lang w:val="en-US"/>
        </w:rPr>
      </w:pPr>
      <w:r>
        <w:rPr>
          <w:lang w:val="en-US"/>
        </w:rPr>
        <w:t>Seven</w:t>
      </w:r>
      <w:r w:rsidRPr="00134E39">
        <w:rPr>
          <w:lang w:val="en-US"/>
        </w:rPr>
        <w:t xml:space="preserve"> industrial symbiosis options were defined, analyzed </w:t>
      </w:r>
      <w:r>
        <w:rPr>
          <w:lang w:val="en-US"/>
        </w:rPr>
        <w:t>and</w:t>
      </w:r>
      <w:r w:rsidRPr="00134E39">
        <w:rPr>
          <w:lang w:val="en-US"/>
        </w:rPr>
        <w:t xml:space="preserve"> discussed</w:t>
      </w:r>
      <w:r w:rsidR="00AD6E93" w:rsidRPr="00134E39">
        <w:rPr>
          <w:lang w:val="en-US"/>
        </w:rPr>
        <w:t xml:space="preserve"> over 18 months. </w:t>
      </w:r>
      <w:r>
        <w:rPr>
          <w:lang w:val="en-US"/>
        </w:rPr>
        <w:t xml:space="preserve">In </w:t>
      </w:r>
      <w:r w:rsidR="00AD6E93" w:rsidRPr="00134E39">
        <w:rPr>
          <w:lang w:val="en-US"/>
        </w:rPr>
        <w:t>13 meetings</w:t>
      </w:r>
      <w:r w:rsidR="00E32FFE">
        <w:rPr>
          <w:lang w:val="en-US"/>
        </w:rPr>
        <w:t>,</w:t>
      </w:r>
      <w:r w:rsidR="00AD6E93" w:rsidRPr="00134E39">
        <w:rPr>
          <w:lang w:val="en-US"/>
        </w:rPr>
        <w:t xml:space="preserve"> opportunities</w:t>
      </w:r>
      <w:r>
        <w:rPr>
          <w:lang w:val="en-US"/>
        </w:rPr>
        <w:t xml:space="preserve"> were identified</w:t>
      </w:r>
      <w:r w:rsidR="00AD6E93" w:rsidRPr="00134E39">
        <w:rPr>
          <w:lang w:val="en-US"/>
        </w:rPr>
        <w:t>, technical challenges and open questions</w:t>
      </w:r>
      <w:r>
        <w:rPr>
          <w:lang w:val="en-US"/>
        </w:rPr>
        <w:t xml:space="preserve"> clarified</w:t>
      </w:r>
      <w:r w:rsidR="00AD6E93" w:rsidRPr="00134E39">
        <w:rPr>
          <w:lang w:val="en-US"/>
        </w:rPr>
        <w:t>.</w:t>
      </w:r>
    </w:p>
    <w:p w14:paraId="4AF423B4" w14:textId="77777777" w:rsidR="00134E39" w:rsidRPr="00134E39" w:rsidRDefault="00134E39" w:rsidP="00227125">
      <w:pPr>
        <w:rPr>
          <w:lang w:val="en-US"/>
        </w:rPr>
      </w:pPr>
    </w:p>
    <w:p w14:paraId="130A7F5E" w14:textId="77777777" w:rsidR="00134E39" w:rsidRPr="00134E39" w:rsidRDefault="00134E39" w:rsidP="00134E39">
      <w:pPr>
        <w:numPr>
          <w:ilvl w:val="0"/>
          <w:numId w:val="3"/>
        </w:numPr>
        <w:rPr>
          <w:lang w:val="en-US"/>
        </w:rPr>
      </w:pPr>
      <w:r>
        <w:rPr>
          <w:lang w:val="en-US"/>
        </w:rPr>
        <w:t>R</w:t>
      </w:r>
      <w:r w:rsidRPr="00134E39">
        <w:rPr>
          <w:lang w:val="en-US"/>
        </w:rPr>
        <w:t xml:space="preserve">enewable </w:t>
      </w:r>
      <w:r w:rsidRPr="00134E39">
        <w:rPr>
          <w:rFonts w:cs="Arial"/>
          <w:color w:val="000000"/>
          <w:lang w:val="en-US"/>
        </w:rPr>
        <w:t>H</w:t>
      </w:r>
      <w:r w:rsidRPr="00134E39">
        <w:rPr>
          <w:rFonts w:cs="Arial"/>
          <w:color w:val="000000"/>
          <w:vertAlign w:val="subscript"/>
          <w:lang w:val="en-US"/>
        </w:rPr>
        <w:t>2</w:t>
      </w:r>
      <w:r w:rsidRPr="00134E39">
        <w:rPr>
          <w:lang w:val="en-US"/>
        </w:rPr>
        <w:t xml:space="preserve"> exchange from existing water </w:t>
      </w:r>
      <w:r w:rsidR="009D4DBA">
        <w:rPr>
          <w:lang w:val="en-US"/>
        </w:rPr>
        <w:t xml:space="preserve">electrolyzer </w:t>
      </w:r>
      <w:r>
        <w:rPr>
          <w:lang w:val="en-US"/>
        </w:rPr>
        <w:t>and</w:t>
      </w:r>
      <w:r w:rsidRPr="00134E39">
        <w:rPr>
          <w:lang w:val="en-US"/>
        </w:rPr>
        <w:t xml:space="preserve"> import</w:t>
      </w:r>
    </w:p>
    <w:p w14:paraId="14C4FDDC" w14:textId="77777777" w:rsidR="00134E39" w:rsidRPr="00134E39" w:rsidRDefault="00134E39" w:rsidP="00134E39">
      <w:pPr>
        <w:numPr>
          <w:ilvl w:val="0"/>
          <w:numId w:val="3"/>
        </w:numPr>
        <w:rPr>
          <w:lang w:val="en-US"/>
        </w:rPr>
      </w:pPr>
      <w:r w:rsidRPr="00134E39">
        <w:rPr>
          <w:lang w:val="en-US"/>
        </w:rPr>
        <w:t xml:space="preserve">Methanation of </w:t>
      </w:r>
      <w:r w:rsidRPr="00134E39">
        <w:rPr>
          <w:lang w:val="en-US" w:eastAsia="de-DE"/>
        </w:rPr>
        <w:t>CO</w:t>
      </w:r>
      <w:r w:rsidRPr="00134E39">
        <w:rPr>
          <w:vertAlign w:val="subscript"/>
          <w:lang w:val="en-US" w:eastAsia="de-DE"/>
        </w:rPr>
        <w:t>2</w:t>
      </w:r>
    </w:p>
    <w:p w14:paraId="644BAA0D" w14:textId="77777777" w:rsidR="00134E39" w:rsidRPr="00134E39" w:rsidRDefault="00134E39" w:rsidP="00134E39">
      <w:pPr>
        <w:numPr>
          <w:ilvl w:val="0"/>
          <w:numId w:val="3"/>
        </w:numPr>
        <w:rPr>
          <w:lang w:val="en-US"/>
        </w:rPr>
      </w:pPr>
      <w:r w:rsidRPr="00134E39">
        <w:rPr>
          <w:lang w:val="en-US"/>
        </w:rPr>
        <w:t xml:space="preserve">Methanation of </w:t>
      </w:r>
      <w:r>
        <w:rPr>
          <w:lang w:val="en-US"/>
        </w:rPr>
        <w:t xml:space="preserve">steel plant </w:t>
      </w:r>
      <w:r w:rsidRPr="00134E39">
        <w:rPr>
          <w:lang w:val="en-US"/>
        </w:rPr>
        <w:t>off</w:t>
      </w:r>
      <w:r>
        <w:rPr>
          <w:lang w:val="en-US"/>
        </w:rPr>
        <w:t>-</w:t>
      </w:r>
      <w:r w:rsidRPr="00134E39">
        <w:rPr>
          <w:lang w:val="en-US"/>
        </w:rPr>
        <w:t>gases</w:t>
      </w:r>
    </w:p>
    <w:p w14:paraId="45C7995A" w14:textId="77777777" w:rsidR="00134E39" w:rsidRPr="00134E39" w:rsidRDefault="00134E39" w:rsidP="00134E39">
      <w:pPr>
        <w:numPr>
          <w:ilvl w:val="0"/>
          <w:numId w:val="3"/>
        </w:numPr>
        <w:rPr>
          <w:lang w:val="en-US"/>
        </w:rPr>
      </w:pPr>
      <w:r w:rsidRPr="00134E39">
        <w:rPr>
          <w:lang w:val="en-US"/>
        </w:rPr>
        <w:t xml:space="preserve">Utilization from coke oven gas for </w:t>
      </w:r>
      <w:r w:rsidRPr="00134E39">
        <w:rPr>
          <w:rFonts w:cs="Arial"/>
          <w:color w:val="000000"/>
          <w:lang w:val="en-US"/>
        </w:rPr>
        <w:t>H</w:t>
      </w:r>
      <w:r w:rsidRPr="00134E39">
        <w:rPr>
          <w:rFonts w:cs="Arial"/>
          <w:color w:val="000000"/>
          <w:vertAlign w:val="subscript"/>
          <w:lang w:val="en-US"/>
        </w:rPr>
        <w:t>2</w:t>
      </w:r>
      <w:r w:rsidRPr="00134E39">
        <w:rPr>
          <w:lang w:val="en-US"/>
        </w:rPr>
        <w:t xml:space="preserve"> supply</w:t>
      </w:r>
    </w:p>
    <w:p w14:paraId="1552E95D" w14:textId="77777777" w:rsidR="00134E39" w:rsidRPr="00134E39" w:rsidRDefault="00134E39" w:rsidP="00134E39">
      <w:pPr>
        <w:numPr>
          <w:ilvl w:val="0"/>
          <w:numId w:val="3"/>
        </w:numPr>
        <w:rPr>
          <w:lang w:val="en-US"/>
        </w:rPr>
      </w:pPr>
      <w:r>
        <w:rPr>
          <w:lang w:val="en-US"/>
        </w:rPr>
        <w:t>A</w:t>
      </w:r>
      <w:r w:rsidRPr="00134E39">
        <w:rPr>
          <w:lang w:val="en-US"/>
        </w:rPr>
        <w:t>mmonia</w:t>
      </w:r>
      <w:r>
        <w:rPr>
          <w:lang w:val="en-US"/>
        </w:rPr>
        <w:t xml:space="preserve"> as</w:t>
      </w:r>
      <w:r w:rsidRPr="00134E39">
        <w:rPr>
          <w:lang w:val="en-US"/>
        </w:rPr>
        <w:t xml:space="preserve"> </w:t>
      </w:r>
      <w:r w:rsidRPr="00134E39">
        <w:rPr>
          <w:rFonts w:cs="Arial"/>
          <w:color w:val="000000"/>
          <w:lang w:val="en-US"/>
        </w:rPr>
        <w:t>H</w:t>
      </w:r>
      <w:r w:rsidRPr="00134E39">
        <w:rPr>
          <w:rFonts w:cs="Arial"/>
          <w:color w:val="000000"/>
          <w:vertAlign w:val="subscript"/>
          <w:lang w:val="en-US"/>
        </w:rPr>
        <w:t>2</w:t>
      </w:r>
      <w:r w:rsidRPr="00134E39">
        <w:rPr>
          <w:lang w:val="en-US"/>
        </w:rPr>
        <w:t xml:space="preserve"> storage and reconversion on demand</w:t>
      </w:r>
    </w:p>
    <w:p w14:paraId="28CF5C32" w14:textId="77777777" w:rsidR="00134E39" w:rsidRPr="00134E39" w:rsidRDefault="00134E39" w:rsidP="00134E39">
      <w:pPr>
        <w:numPr>
          <w:ilvl w:val="0"/>
          <w:numId w:val="3"/>
        </w:numPr>
        <w:rPr>
          <w:lang w:val="en-US"/>
        </w:rPr>
      </w:pPr>
      <w:r w:rsidRPr="00134E39">
        <w:rPr>
          <w:lang w:val="en-US" w:eastAsia="de-DE"/>
        </w:rPr>
        <w:t>CO</w:t>
      </w:r>
      <w:r w:rsidRPr="00134E39">
        <w:rPr>
          <w:vertAlign w:val="subscript"/>
          <w:lang w:val="en-US" w:eastAsia="de-DE"/>
        </w:rPr>
        <w:t>2</w:t>
      </w:r>
      <w:r w:rsidRPr="00134E39">
        <w:rPr>
          <w:lang w:val="en-US"/>
        </w:rPr>
        <w:t xml:space="preserve"> for urea production</w:t>
      </w:r>
    </w:p>
    <w:p w14:paraId="3610A19D" w14:textId="77777777" w:rsidR="00134E39" w:rsidRDefault="00134E39" w:rsidP="00134E39">
      <w:pPr>
        <w:numPr>
          <w:ilvl w:val="0"/>
          <w:numId w:val="3"/>
        </w:numPr>
        <w:rPr>
          <w:lang w:val="en-US"/>
        </w:rPr>
      </w:pPr>
      <w:r w:rsidRPr="00134E39">
        <w:rPr>
          <w:lang w:val="en-US"/>
        </w:rPr>
        <w:t>Process integration of existing and potential new assets</w:t>
      </w:r>
    </w:p>
    <w:p w14:paraId="3714C766" w14:textId="77777777" w:rsidR="00134E39" w:rsidRDefault="00134E39" w:rsidP="00227125">
      <w:pPr>
        <w:rPr>
          <w:lang w:val="en-US"/>
        </w:rPr>
      </w:pPr>
    </w:p>
    <w:p w14:paraId="333252D9" w14:textId="77777777" w:rsidR="005E4D4F" w:rsidRDefault="00AD6E93" w:rsidP="00227125">
      <w:pPr>
        <w:rPr>
          <w:lang w:val="en-US"/>
        </w:rPr>
      </w:pPr>
      <w:r w:rsidRPr="00134E39">
        <w:rPr>
          <w:lang w:val="en-US"/>
        </w:rPr>
        <w:t xml:space="preserve">The objective was to create a win-win situation for the industrial players while driving their transition to sustainable production processes. </w:t>
      </w:r>
      <w:r w:rsidR="00134E39">
        <w:rPr>
          <w:lang w:val="en-US"/>
        </w:rPr>
        <w:t>T</w:t>
      </w:r>
      <w:r w:rsidRPr="00134E39">
        <w:rPr>
          <w:lang w:val="en-US"/>
        </w:rPr>
        <w:t xml:space="preserve">he use cases were assessed in different levels of detail by all participants. While </w:t>
      </w:r>
      <w:r w:rsidR="009D4DBA">
        <w:rPr>
          <w:lang w:val="en-US"/>
        </w:rPr>
        <w:t xml:space="preserve">initially </w:t>
      </w:r>
      <w:r w:rsidRPr="00134E39">
        <w:rPr>
          <w:lang w:val="en-US" w:eastAsia="de-DE"/>
        </w:rPr>
        <w:t>CO</w:t>
      </w:r>
      <w:r w:rsidRPr="00134E39">
        <w:rPr>
          <w:vertAlign w:val="subscript"/>
          <w:lang w:val="en-US" w:eastAsia="de-DE"/>
        </w:rPr>
        <w:t>2</w:t>
      </w:r>
      <w:r w:rsidRPr="00134E39">
        <w:rPr>
          <w:lang w:val="en-US"/>
        </w:rPr>
        <w:t xml:space="preserve"> was in the focus for a local “carbon cycle”, in course of the process the long-term perspective shifted towards shared local hydrogen production and cooperation on hydrogen import options for a fully decarbonized steel and ammonia industry. The future focus is on a joint road-mapping process, in order to enable the development of business models and detailing of process adaptions with focus on green hydrogen. Furthermore, the identification of further synergy opportunities will be traced, such as waste heat utilization</w:t>
      </w:r>
      <w:r w:rsidR="009D4DBA">
        <w:rPr>
          <w:lang w:val="en-US"/>
        </w:rPr>
        <w:t>,</w:t>
      </w:r>
      <w:r w:rsidRPr="00134E39">
        <w:rPr>
          <w:lang w:val="en-US"/>
        </w:rPr>
        <w:t xml:space="preserve"> further stakeholder</w:t>
      </w:r>
      <w:r w:rsidR="00B4389F" w:rsidRPr="00134E39">
        <w:rPr>
          <w:lang w:val="en-US"/>
        </w:rPr>
        <w:t xml:space="preserve"> involvement and technical cooperation planning needs</w:t>
      </w:r>
      <w:r w:rsidRPr="00134E39">
        <w:rPr>
          <w:lang w:val="en-US"/>
        </w:rPr>
        <w:t xml:space="preserve">. </w:t>
      </w:r>
    </w:p>
    <w:p w14:paraId="2CA10A8D" w14:textId="77777777" w:rsidR="00134E39" w:rsidRPr="00134E39" w:rsidRDefault="00134E39" w:rsidP="00227125">
      <w:pPr>
        <w:rPr>
          <w:lang w:val="en-US"/>
        </w:rPr>
      </w:pPr>
    </w:p>
    <w:p w14:paraId="391E9425" w14:textId="1D8E389A" w:rsidR="00433749" w:rsidRPr="00134E39" w:rsidRDefault="003D39F4" w:rsidP="00AF2D0E">
      <w:pPr>
        <w:jc w:val="center"/>
        <w:rPr>
          <w:noProof/>
          <w:highlight w:val="yellow"/>
          <w:lang w:val="en-US"/>
        </w:rPr>
      </w:pPr>
      <w:r w:rsidRPr="00134E39">
        <w:rPr>
          <w:noProof/>
          <w:lang w:val="en-US"/>
        </w:rPr>
        <w:lastRenderedPageBreak/>
        <w:drawing>
          <wp:inline distT="0" distB="0" distL="0" distR="0" wp14:anchorId="0E665FCD" wp14:editId="1B9E28C1">
            <wp:extent cx="2957830" cy="2496820"/>
            <wp:effectExtent l="0" t="0" r="0" b="0"/>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l="-1027" t="-920" r="-14"/>
                    <a:stretch>
                      <a:fillRect/>
                    </a:stretch>
                  </pic:blipFill>
                  <pic:spPr bwMode="auto">
                    <a:xfrm>
                      <a:off x="0" y="0"/>
                      <a:ext cx="2957830" cy="2496820"/>
                    </a:xfrm>
                    <a:prstGeom prst="rect">
                      <a:avLst/>
                    </a:prstGeom>
                    <a:noFill/>
                    <a:ln>
                      <a:noFill/>
                    </a:ln>
                  </pic:spPr>
                </pic:pic>
              </a:graphicData>
            </a:graphic>
          </wp:inline>
        </w:drawing>
      </w:r>
    </w:p>
    <w:p w14:paraId="65262FDF" w14:textId="77777777" w:rsidR="00AF2D0E" w:rsidRPr="00134E39" w:rsidRDefault="00AF2D0E" w:rsidP="00134E39">
      <w:pPr>
        <w:pStyle w:val="Abbildungsbeschriftung"/>
        <w:spacing w:before="120"/>
        <w:rPr>
          <w:lang w:val="en-US"/>
        </w:rPr>
      </w:pPr>
      <w:r w:rsidRPr="00134E39">
        <w:rPr>
          <w:lang w:val="en-US"/>
        </w:rPr>
        <w:t>Figure</w:t>
      </w:r>
      <w:r w:rsidR="00803917" w:rsidRPr="00134E39">
        <w:rPr>
          <w:lang w:val="en-US"/>
        </w:rPr>
        <w:t xml:space="preserve"> 1: </w:t>
      </w:r>
      <w:r w:rsidRPr="00134E39">
        <w:rPr>
          <w:lang w:val="en-US"/>
        </w:rPr>
        <w:t>Available feedstocks and potential products of industrial symbiosis options at the industrial site in focus. Source: Energieinstitut an JKU Linz.</w:t>
      </w:r>
    </w:p>
    <w:p w14:paraId="05077574" w14:textId="77777777" w:rsidR="00433749" w:rsidRPr="00134E39" w:rsidRDefault="00433749" w:rsidP="00227125">
      <w:pPr>
        <w:rPr>
          <w:highlight w:val="yellow"/>
          <w:lang w:val="en-US"/>
        </w:rPr>
      </w:pPr>
    </w:p>
    <w:p w14:paraId="02F47076" w14:textId="77777777" w:rsidR="0028593E" w:rsidRDefault="0028593E" w:rsidP="00227125">
      <w:pPr>
        <w:rPr>
          <w:lang w:val="en-US"/>
        </w:rPr>
      </w:pPr>
    </w:p>
    <w:p w14:paraId="5014EE19" w14:textId="77777777" w:rsidR="0028593E" w:rsidRDefault="0028593E" w:rsidP="00227125">
      <w:pPr>
        <w:rPr>
          <w:lang w:val="en-US"/>
        </w:rPr>
      </w:pPr>
    </w:p>
    <w:p w14:paraId="5089DBC3" w14:textId="77777777" w:rsidR="0028593E" w:rsidRDefault="0028593E" w:rsidP="00227125">
      <w:pPr>
        <w:rPr>
          <w:lang w:val="en-US"/>
        </w:rPr>
      </w:pPr>
    </w:p>
    <w:p w14:paraId="0A3184C9" w14:textId="4DFF270C" w:rsidR="00B4389F" w:rsidRPr="00134E39" w:rsidRDefault="00B4389F" w:rsidP="00227125">
      <w:pPr>
        <w:rPr>
          <w:lang w:val="en-US"/>
        </w:rPr>
      </w:pPr>
      <w:r w:rsidRPr="00134E39">
        <w:rPr>
          <w:lang w:val="en-US"/>
        </w:rPr>
        <w:t xml:space="preserve">This project has received funding from the European Union’s Horizon 2020 research and innovation </w:t>
      </w:r>
      <w:r w:rsidR="00134E39" w:rsidRPr="00134E39">
        <w:rPr>
          <w:lang w:val="en-US"/>
        </w:rPr>
        <w:t>program</w:t>
      </w:r>
      <w:r w:rsidRPr="00134E39">
        <w:rPr>
          <w:lang w:val="en-US"/>
        </w:rPr>
        <w:t xml:space="preserve"> under Grant Agreement No 958337.</w:t>
      </w:r>
    </w:p>
    <w:p w14:paraId="28BFDBDA" w14:textId="53C0B0F7" w:rsidR="00134E39" w:rsidRDefault="00134E39" w:rsidP="00227125">
      <w:pPr>
        <w:rPr>
          <w:lang w:val="en-US"/>
        </w:rPr>
      </w:pPr>
    </w:p>
    <w:p w14:paraId="2251C781" w14:textId="365F5630" w:rsidR="0028593E" w:rsidRDefault="0028593E" w:rsidP="00227125">
      <w:pPr>
        <w:rPr>
          <w:lang w:val="en-US"/>
        </w:rPr>
      </w:pPr>
    </w:p>
    <w:p w14:paraId="027A3D5E" w14:textId="18EF68C1" w:rsidR="0028593E" w:rsidRDefault="0028593E" w:rsidP="00227125">
      <w:pPr>
        <w:rPr>
          <w:lang w:val="en-US"/>
        </w:rPr>
      </w:pPr>
    </w:p>
    <w:p w14:paraId="3392674A" w14:textId="77777777" w:rsidR="0028593E" w:rsidRPr="00134E39" w:rsidRDefault="0028593E" w:rsidP="00227125">
      <w:pPr>
        <w:rPr>
          <w:lang w:val="en-US"/>
        </w:rPr>
      </w:pPr>
    </w:p>
    <w:p w14:paraId="636202F3" w14:textId="77777777" w:rsidR="005E4D4F" w:rsidRPr="00134E39" w:rsidRDefault="005E4D4F" w:rsidP="00A156E4">
      <w:pPr>
        <w:pStyle w:val="Ueberschrift"/>
        <w:rPr>
          <w:lang w:val="en-US"/>
        </w:rPr>
      </w:pPr>
      <w:bookmarkStart w:id="0" w:name="_Toc26086066"/>
      <w:bookmarkStart w:id="1" w:name="_Toc68418491"/>
      <w:r w:rsidRPr="00134E39">
        <w:rPr>
          <w:lang w:val="en-US"/>
        </w:rPr>
        <w:t>Literatur</w:t>
      </w:r>
      <w:bookmarkEnd w:id="0"/>
      <w:bookmarkEnd w:id="1"/>
      <w:r w:rsidR="00134E39">
        <w:rPr>
          <w:lang w:val="en-US"/>
        </w:rPr>
        <w:t>e</w:t>
      </w:r>
    </w:p>
    <w:p w14:paraId="42180C6E" w14:textId="77777777" w:rsidR="00A35AD9" w:rsidRPr="00134E39" w:rsidRDefault="00AD6E93" w:rsidP="00A35AD9">
      <w:pPr>
        <w:pStyle w:val="Literaturverzeichnis"/>
        <w:rPr>
          <w:rFonts w:cs="Arial"/>
          <w:lang w:val="en-US"/>
        </w:rPr>
      </w:pPr>
      <w:r w:rsidRPr="00134E39">
        <w:rPr>
          <w:lang w:val="en-US"/>
        </w:rPr>
        <w:fldChar w:fldCharType="begin"/>
      </w:r>
      <w:r w:rsidR="00A35AD9" w:rsidRPr="00134E39">
        <w:rPr>
          <w:lang w:val="en-US"/>
        </w:rPr>
        <w:instrText xml:space="preserve"> ADDIN ZOTERO_BIBL {"uncited":[],"omitted":[],"custom":[]} CSL_BIBLIOGRAPHY </w:instrText>
      </w:r>
      <w:r w:rsidRPr="00134E39">
        <w:rPr>
          <w:lang w:val="en-US"/>
        </w:rPr>
        <w:fldChar w:fldCharType="separate"/>
      </w:r>
      <w:r w:rsidR="00A35AD9" w:rsidRPr="00134E39">
        <w:rPr>
          <w:rFonts w:cs="Arial"/>
          <w:lang w:val="en-US"/>
        </w:rPr>
        <w:t>[1]</w:t>
      </w:r>
      <w:r w:rsidR="00A35AD9" w:rsidRPr="00134E39">
        <w:rPr>
          <w:rFonts w:cs="Arial"/>
          <w:lang w:val="en-US"/>
        </w:rPr>
        <w:tab/>
        <w:t>European Commission, ‘Circular Economy Action Plan #EUGreenDeal’, 2020. Accessed: Feb. 04, 2022. [Online]. Available: https://ec.europa.eu/environment/pdf/circular-economy/new_circular_economy_action_plan.pdf</w:t>
      </w:r>
    </w:p>
    <w:p w14:paraId="2FA19DDF" w14:textId="77777777" w:rsidR="00A35AD9" w:rsidRPr="00134E39" w:rsidRDefault="00A35AD9" w:rsidP="00A35AD9">
      <w:pPr>
        <w:pStyle w:val="Literaturverzeichnis"/>
        <w:rPr>
          <w:rFonts w:cs="Arial"/>
          <w:lang w:val="en-US"/>
        </w:rPr>
      </w:pPr>
      <w:r w:rsidRPr="00134E39">
        <w:rPr>
          <w:rFonts w:cs="Arial"/>
          <w:lang w:val="en-US"/>
        </w:rPr>
        <w:t>[2]</w:t>
      </w:r>
      <w:r w:rsidRPr="00134E39">
        <w:rPr>
          <w:rFonts w:cs="Arial"/>
          <w:lang w:val="en-US"/>
        </w:rPr>
        <w:tab/>
        <w:t xml:space="preserve">M. Draxler, J. Schenk, T. Bürgler, and A. Sormann, ‘The Steel Industry in the European Union on the Crossroad to Carbon Lean Production—Status, Initiatives and Challenges’, </w:t>
      </w:r>
      <w:r w:rsidRPr="00134E39">
        <w:rPr>
          <w:rFonts w:cs="Arial"/>
          <w:i/>
          <w:iCs/>
          <w:lang w:val="en-US"/>
        </w:rPr>
        <w:t>Berg Huettenmaenn Monatsh</w:t>
      </w:r>
      <w:r w:rsidRPr="00134E39">
        <w:rPr>
          <w:rFonts w:cs="Arial"/>
          <w:lang w:val="en-US"/>
        </w:rPr>
        <w:t>, vol. 165, no. 5, pp. 221–226, May 2020, doi: 10.1007/s00501-020-00975-2.</w:t>
      </w:r>
    </w:p>
    <w:p w14:paraId="6632398B" w14:textId="77777777" w:rsidR="00A35AD9" w:rsidRPr="00134E39" w:rsidRDefault="00A35AD9" w:rsidP="00A35AD9">
      <w:pPr>
        <w:pStyle w:val="Literaturverzeichnis"/>
        <w:rPr>
          <w:rFonts w:cs="Arial"/>
          <w:lang w:val="en-US"/>
        </w:rPr>
      </w:pPr>
      <w:r w:rsidRPr="00134E39">
        <w:rPr>
          <w:rFonts w:cs="Arial"/>
          <w:lang w:val="en-US"/>
        </w:rPr>
        <w:t>[3]</w:t>
      </w:r>
      <w:r w:rsidRPr="00134E39">
        <w:rPr>
          <w:rFonts w:cs="Arial"/>
          <w:lang w:val="en-US"/>
        </w:rPr>
        <w:tab/>
        <w:t xml:space="preserve">D. R. MacFarlane </w:t>
      </w:r>
      <w:r w:rsidRPr="00134E39">
        <w:rPr>
          <w:rFonts w:cs="Arial"/>
          <w:i/>
          <w:iCs/>
          <w:lang w:val="en-US"/>
        </w:rPr>
        <w:t>et al.</w:t>
      </w:r>
      <w:r w:rsidRPr="00134E39">
        <w:rPr>
          <w:rFonts w:cs="Arial"/>
          <w:lang w:val="en-US"/>
        </w:rPr>
        <w:t xml:space="preserve">, ‘A Roadmap to the Ammonia Economy’, </w:t>
      </w:r>
      <w:r w:rsidRPr="00134E39">
        <w:rPr>
          <w:rFonts w:cs="Arial"/>
          <w:i/>
          <w:iCs/>
          <w:lang w:val="en-US"/>
        </w:rPr>
        <w:t>Joule</w:t>
      </w:r>
      <w:r w:rsidRPr="00134E39">
        <w:rPr>
          <w:rFonts w:cs="Arial"/>
          <w:lang w:val="en-US"/>
        </w:rPr>
        <w:t>, vol. 4, no. 6, pp. 1186–1205, Jun. 2020, doi: 10.1016/j.joule.2020.04.004.</w:t>
      </w:r>
    </w:p>
    <w:p w14:paraId="2FD678EA" w14:textId="77777777" w:rsidR="00A35AD9" w:rsidRPr="00134E39" w:rsidRDefault="00A35AD9" w:rsidP="00A35AD9">
      <w:pPr>
        <w:pStyle w:val="Literaturverzeichnis"/>
        <w:rPr>
          <w:rFonts w:cs="Arial"/>
          <w:lang w:val="en-US"/>
        </w:rPr>
      </w:pPr>
      <w:r w:rsidRPr="00134E39">
        <w:rPr>
          <w:rFonts w:cs="Arial"/>
          <w:lang w:val="en-US"/>
        </w:rPr>
        <w:t>[4]</w:t>
      </w:r>
      <w:r w:rsidRPr="00134E39">
        <w:rPr>
          <w:rFonts w:cs="Arial"/>
          <w:lang w:val="en-US"/>
        </w:rPr>
        <w:tab/>
        <w:t>International Energy Agency (IEA), ‘Putting CO2 to Use - Creating value from emissions’, Sep. 2019. Accessed: Oct. 31, 2022. [Online]. Available: https://www.iea.org/reports/putting-co2-to-use</w:t>
      </w:r>
    </w:p>
    <w:p w14:paraId="51E986AB" w14:textId="77777777" w:rsidR="00A35AD9" w:rsidRPr="00134E39" w:rsidRDefault="00A35AD9" w:rsidP="00A35AD9">
      <w:pPr>
        <w:pStyle w:val="Literaturverzeichnis"/>
        <w:rPr>
          <w:rFonts w:cs="Arial"/>
          <w:lang w:val="en-US"/>
        </w:rPr>
      </w:pPr>
      <w:r w:rsidRPr="00134E39">
        <w:rPr>
          <w:rFonts w:cs="Arial"/>
          <w:lang w:val="en-US"/>
        </w:rPr>
        <w:t>[5]</w:t>
      </w:r>
      <w:r w:rsidRPr="00134E39">
        <w:rPr>
          <w:rFonts w:cs="Arial"/>
          <w:lang w:val="en-US"/>
        </w:rPr>
        <w:tab/>
        <w:t xml:space="preserve">CORALIS, ‘CORALIS | project homepage’, </w:t>
      </w:r>
      <w:r w:rsidRPr="00134E39">
        <w:rPr>
          <w:rFonts w:cs="Arial"/>
          <w:i/>
          <w:iCs/>
          <w:lang w:val="en-US"/>
        </w:rPr>
        <w:t>CORALIS</w:t>
      </w:r>
      <w:r w:rsidRPr="00134E39">
        <w:rPr>
          <w:rFonts w:cs="Arial"/>
          <w:lang w:val="en-US"/>
        </w:rPr>
        <w:t>, 2022. https://www.coralis-h2020.eu/ (accessed Oct. 31, 2022).</w:t>
      </w:r>
    </w:p>
    <w:p w14:paraId="06E029E9" w14:textId="77777777" w:rsidR="005E4D4F" w:rsidRPr="00134E39" w:rsidRDefault="00AD6E93" w:rsidP="00227125">
      <w:pPr>
        <w:pStyle w:val="Literatur"/>
        <w:rPr>
          <w:lang w:val="en-US"/>
        </w:rPr>
      </w:pPr>
      <w:r w:rsidRPr="00134E39">
        <w:rPr>
          <w:lang w:val="en-US"/>
        </w:rPr>
        <w:fldChar w:fldCharType="end"/>
      </w:r>
    </w:p>
    <w:sectPr w:rsidR="005E4D4F" w:rsidRPr="00134E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06750" w14:textId="77777777" w:rsidR="00967F48" w:rsidRDefault="00967F48">
      <w:r>
        <w:separator/>
      </w:r>
    </w:p>
  </w:endnote>
  <w:endnote w:type="continuationSeparator" w:id="0">
    <w:p w14:paraId="173FEE97" w14:textId="77777777" w:rsidR="00967F48" w:rsidRDefault="0096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496AD" w14:textId="77777777" w:rsidR="00967F48" w:rsidRDefault="00967F48">
      <w:r>
        <w:separator/>
      </w:r>
    </w:p>
  </w:footnote>
  <w:footnote w:type="continuationSeparator" w:id="0">
    <w:p w14:paraId="654858AD" w14:textId="77777777" w:rsidR="00967F48" w:rsidRDefault="00967F48">
      <w:r>
        <w:continuationSeparator/>
      </w:r>
    </w:p>
  </w:footnote>
  <w:footnote w:id="1">
    <w:p w14:paraId="03C93AE6" w14:textId="77777777" w:rsidR="00D53E86" w:rsidRPr="00FB69AE" w:rsidRDefault="00D53E86" w:rsidP="002014D3">
      <w:r w:rsidRPr="00A115D2">
        <w:rPr>
          <w:rStyle w:val="Funotenzeichen"/>
        </w:rPr>
        <w:footnoteRef/>
      </w:r>
      <w:r w:rsidR="009F094D">
        <w:t xml:space="preserve"> Altenbergerstraße 69, 4040 Linz, +43 (0) 732 / 2468 5671,</w:t>
      </w:r>
      <w:r w:rsidRPr="00D53E86">
        <w:t xml:space="preserve"> </w:t>
      </w:r>
      <w:hyperlink r:id="rId1" w:history="1">
        <w:r w:rsidR="009F094D" w:rsidRPr="00950E4C">
          <w:rPr>
            <w:rStyle w:val="Hyperlink"/>
          </w:rPr>
          <w:t>rodin@energieinstitut-linz.at</w:t>
        </w:r>
      </w:hyperlink>
      <w:r w:rsidR="009F094D">
        <w:t>, www.</w:t>
      </w:r>
      <w:r w:rsidR="009F094D" w:rsidRPr="009F094D">
        <w:t>energieinstitut-linz.at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3A16"/>
    <w:multiLevelType w:val="hybridMultilevel"/>
    <w:tmpl w:val="2FD8BD86"/>
    <w:lvl w:ilvl="0" w:tplc="40929778">
      <w:start w:val="1"/>
      <w:numFmt w:val="bullet"/>
      <w:lvlText w:val=""/>
      <w:lvlJc w:val="left"/>
      <w:pPr>
        <w:tabs>
          <w:tab w:val="num" w:pos="720"/>
        </w:tabs>
        <w:ind w:left="720" w:hanging="360"/>
      </w:pPr>
      <w:rPr>
        <w:rFonts w:ascii="Symbol" w:hAnsi="Symbol" w:hint="default"/>
      </w:rPr>
    </w:lvl>
    <w:lvl w:ilvl="1" w:tplc="5816B91A" w:tentative="1">
      <w:start w:val="1"/>
      <w:numFmt w:val="bullet"/>
      <w:lvlText w:val=""/>
      <w:lvlJc w:val="left"/>
      <w:pPr>
        <w:tabs>
          <w:tab w:val="num" w:pos="1440"/>
        </w:tabs>
        <w:ind w:left="1440" w:hanging="360"/>
      </w:pPr>
      <w:rPr>
        <w:rFonts w:ascii="Symbol" w:hAnsi="Symbol" w:hint="default"/>
      </w:rPr>
    </w:lvl>
    <w:lvl w:ilvl="2" w:tplc="D4288558" w:tentative="1">
      <w:start w:val="1"/>
      <w:numFmt w:val="bullet"/>
      <w:lvlText w:val=""/>
      <w:lvlJc w:val="left"/>
      <w:pPr>
        <w:tabs>
          <w:tab w:val="num" w:pos="2160"/>
        </w:tabs>
        <w:ind w:left="2160" w:hanging="360"/>
      </w:pPr>
      <w:rPr>
        <w:rFonts w:ascii="Symbol" w:hAnsi="Symbol" w:hint="default"/>
      </w:rPr>
    </w:lvl>
    <w:lvl w:ilvl="3" w:tplc="FBBACC7A" w:tentative="1">
      <w:start w:val="1"/>
      <w:numFmt w:val="bullet"/>
      <w:lvlText w:val=""/>
      <w:lvlJc w:val="left"/>
      <w:pPr>
        <w:tabs>
          <w:tab w:val="num" w:pos="2880"/>
        </w:tabs>
        <w:ind w:left="2880" w:hanging="360"/>
      </w:pPr>
      <w:rPr>
        <w:rFonts w:ascii="Symbol" w:hAnsi="Symbol" w:hint="default"/>
      </w:rPr>
    </w:lvl>
    <w:lvl w:ilvl="4" w:tplc="04C0829E" w:tentative="1">
      <w:start w:val="1"/>
      <w:numFmt w:val="bullet"/>
      <w:lvlText w:val=""/>
      <w:lvlJc w:val="left"/>
      <w:pPr>
        <w:tabs>
          <w:tab w:val="num" w:pos="3600"/>
        </w:tabs>
        <w:ind w:left="3600" w:hanging="360"/>
      </w:pPr>
      <w:rPr>
        <w:rFonts w:ascii="Symbol" w:hAnsi="Symbol" w:hint="default"/>
      </w:rPr>
    </w:lvl>
    <w:lvl w:ilvl="5" w:tplc="621C6A1E" w:tentative="1">
      <w:start w:val="1"/>
      <w:numFmt w:val="bullet"/>
      <w:lvlText w:val=""/>
      <w:lvlJc w:val="left"/>
      <w:pPr>
        <w:tabs>
          <w:tab w:val="num" w:pos="4320"/>
        </w:tabs>
        <w:ind w:left="4320" w:hanging="360"/>
      </w:pPr>
      <w:rPr>
        <w:rFonts w:ascii="Symbol" w:hAnsi="Symbol" w:hint="default"/>
      </w:rPr>
    </w:lvl>
    <w:lvl w:ilvl="6" w:tplc="7E060F30" w:tentative="1">
      <w:start w:val="1"/>
      <w:numFmt w:val="bullet"/>
      <w:lvlText w:val=""/>
      <w:lvlJc w:val="left"/>
      <w:pPr>
        <w:tabs>
          <w:tab w:val="num" w:pos="5040"/>
        </w:tabs>
        <w:ind w:left="5040" w:hanging="360"/>
      </w:pPr>
      <w:rPr>
        <w:rFonts w:ascii="Symbol" w:hAnsi="Symbol" w:hint="default"/>
      </w:rPr>
    </w:lvl>
    <w:lvl w:ilvl="7" w:tplc="1090CA78" w:tentative="1">
      <w:start w:val="1"/>
      <w:numFmt w:val="bullet"/>
      <w:lvlText w:val=""/>
      <w:lvlJc w:val="left"/>
      <w:pPr>
        <w:tabs>
          <w:tab w:val="num" w:pos="5760"/>
        </w:tabs>
        <w:ind w:left="5760" w:hanging="360"/>
      </w:pPr>
      <w:rPr>
        <w:rFonts w:ascii="Symbol" w:hAnsi="Symbol" w:hint="default"/>
      </w:rPr>
    </w:lvl>
    <w:lvl w:ilvl="8" w:tplc="EBDA8F8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D5071F"/>
    <w:multiLevelType w:val="multilevel"/>
    <w:tmpl w:val="0978BA90"/>
    <w:numStyleLink w:val="Aufzhlung"/>
  </w:abstractNum>
  <w:abstractNum w:abstractNumId="2" w15:restartNumberingAfterBreak="0">
    <w:nsid w:val="110C1E10"/>
    <w:multiLevelType w:val="hybridMultilevel"/>
    <w:tmpl w:val="24D0B670"/>
    <w:lvl w:ilvl="0" w:tplc="553EADA0">
      <w:start w:val="1"/>
      <w:numFmt w:val="bullet"/>
      <w:lvlText w:val=""/>
      <w:lvlJc w:val="left"/>
      <w:pPr>
        <w:tabs>
          <w:tab w:val="num" w:pos="720"/>
        </w:tabs>
        <w:ind w:left="720" w:hanging="360"/>
      </w:pPr>
      <w:rPr>
        <w:rFonts w:ascii="Symbol" w:hAnsi="Symbol" w:hint="default"/>
      </w:rPr>
    </w:lvl>
    <w:lvl w:ilvl="1" w:tplc="4B4653EE" w:tentative="1">
      <w:start w:val="1"/>
      <w:numFmt w:val="bullet"/>
      <w:lvlText w:val=""/>
      <w:lvlJc w:val="left"/>
      <w:pPr>
        <w:tabs>
          <w:tab w:val="num" w:pos="1440"/>
        </w:tabs>
        <w:ind w:left="1440" w:hanging="360"/>
      </w:pPr>
      <w:rPr>
        <w:rFonts w:ascii="Symbol" w:hAnsi="Symbol" w:hint="default"/>
      </w:rPr>
    </w:lvl>
    <w:lvl w:ilvl="2" w:tplc="36281BFA" w:tentative="1">
      <w:start w:val="1"/>
      <w:numFmt w:val="bullet"/>
      <w:lvlText w:val=""/>
      <w:lvlJc w:val="left"/>
      <w:pPr>
        <w:tabs>
          <w:tab w:val="num" w:pos="2160"/>
        </w:tabs>
        <w:ind w:left="2160" w:hanging="360"/>
      </w:pPr>
      <w:rPr>
        <w:rFonts w:ascii="Symbol" w:hAnsi="Symbol" w:hint="default"/>
      </w:rPr>
    </w:lvl>
    <w:lvl w:ilvl="3" w:tplc="AC024C78" w:tentative="1">
      <w:start w:val="1"/>
      <w:numFmt w:val="bullet"/>
      <w:lvlText w:val=""/>
      <w:lvlJc w:val="left"/>
      <w:pPr>
        <w:tabs>
          <w:tab w:val="num" w:pos="2880"/>
        </w:tabs>
        <w:ind w:left="2880" w:hanging="360"/>
      </w:pPr>
      <w:rPr>
        <w:rFonts w:ascii="Symbol" w:hAnsi="Symbol" w:hint="default"/>
      </w:rPr>
    </w:lvl>
    <w:lvl w:ilvl="4" w:tplc="FCE0C564" w:tentative="1">
      <w:start w:val="1"/>
      <w:numFmt w:val="bullet"/>
      <w:lvlText w:val=""/>
      <w:lvlJc w:val="left"/>
      <w:pPr>
        <w:tabs>
          <w:tab w:val="num" w:pos="3600"/>
        </w:tabs>
        <w:ind w:left="3600" w:hanging="360"/>
      </w:pPr>
      <w:rPr>
        <w:rFonts w:ascii="Symbol" w:hAnsi="Symbol" w:hint="default"/>
      </w:rPr>
    </w:lvl>
    <w:lvl w:ilvl="5" w:tplc="4ACCCD28" w:tentative="1">
      <w:start w:val="1"/>
      <w:numFmt w:val="bullet"/>
      <w:lvlText w:val=""/>
      <w:lvlJc w:val="left"/>
      <w:pPr>
        <w:tabs>
          <w:tab w:val="num" w:pos="4320"/>
        </w:tabs>
        <w:ind w:left="4320" w:hanging="360"/>
      </w:pPr>
      <w:rPr>
        <w:rFonts w:ascii="Symbol" w:hAnsi="Symbol" w:hint="default"/>
      </w:rPr>
    </w:lvl>
    <w:lvl w:ilvl="6" w:tplc="FACACA26" w:tentative="1">
      <w:start w:val="1"/>
      <w:numFmt w:val="bullet"/>
      <w:lvlText w:val=""/>
      <w:lvlJc w:val="left"/>
      <w:pPr>
        <w:tabs>
          <w:tab w:val="num" w:pos="5040"/>
        </w:tabs>
        <w:ind w:left="5040" w:hanging="360"/>
      </w:pPr>
      <w:rPr>
        <w:rFonts w:ascii="Symbol" w:hAnsi="Symbol" w:hint="default"/>
      </w:rPr>
    </w:lvl>
    <w:lvl w:ilvl="7" w:tplc="A07E77C2" w:tentative="1">
      <w:start w:val="1"/>
      <w:numFmt w:val="bullet"/>
      <w:lvlText w:val=""/>
      <w:lvlJc w:val="left"/>
      <w:pPr>
        <w:tabs>
          <w:tab w:val="num" w:pos="5760"/>
        </w:tabs>
        <w:ind w:left="5760" w:hanging="360"/>
      </w:pPr>
      <w:rPr>
        <w:rFonts w:ascii="Symbol" w:hAnsi="Symbol" w:hint="default"/>
      </w:rPr>
    </w:lvl>
    <w:lvl w:ilvl="8" w:tplc="CDF6E0E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8725FB"/>
    <w:multiLevelType w:val="hybridMultilevel"/>
    <w:tmpl w:val="9A309882"/>
    <w:lvl w:ilvl="0" w:tplc="575CC9BA">
      <w:start w:val="1"/>
      <w:numFmt w:val="bullet"/>
      <w:lvlText w:val=""/>
      <w:lvlJc w:val="left"/>
      <w:pPr>
        <w:tabs>
          <w:tab w:val="num" w:pos="720"/>
        </w:tabs>
        <w:ind w:left="720" w:hanging="360"/>
      </w:pPr>
      <w:rPr>
        <w:rFonts w:ascii="Symbol" w:hAnsi="Symbol" w:hint="default"/>
      </w:rPr>
    </w:lvl>
    <w:lvl w:ilvl="1" w:tplc="7B2CB4F4" w:tentative="1">
      <w:start w:val="1"/>
      <w:numFmt w:val="bullet"/>
      <w:lvlText w:val=""/>
      <w:lvlJc w:val="left"/>
      <w:pPr>
        <w:tabs>
          <w:tab w:val="num" w:pos="1440"/>
        </w:tabs>
        <w:ind w:left="1440" w:hanging="360"/>
      </w:pPr>
      <w:rPr>
        <w:rFonts w:ascii="Symbol" w:hAnsi="Symbol" w:hint="default"/>
      </w:rPr>
    </w:lvl>
    <w:lvl w:ilvl="2" w:tplc="89A05F8A" w:tentative="1">
      <w:start w:val="1"/>
      <w:numFmt w:val="bullet"/>
      <w:lvlText w:val=""/>
      <w:lvlJc w:val="left"/>
      <w:pPr>
        <w:tabs>
          <w:tab w:val="num" w:pos="2160"/>
        </w:tabs>
        <w:ind w:left="2160" w:hanging="360"/>
      </w:pPr>
      <w:rPr>
        <w:rFonts w:ascii="Symbol" w:hAnsi="Symbol" w:hint="default"/>
      </w:rPr>
    </w:lvl>
    <w:lvl w:ilvl="3" w:tplc="BE28B28C" w:tentative="1">
      <w:start w:val="1"/>
      <w:numFmt w:val="bullet"/>
      <w:lvlText w:val=""/>
      <w:lvlJc w:val="left"/>
      <w:pPr>
        <w:tabs>
          <w:tab w:val="num" w:pos="2880"/>
        </w:tabs>
        <w:ind w:left="2880" w:hanging="360"/>
      </w:pPr>
      <w:rPr>
        <w:rFonts w:ascii="Symbol" w:hAnsi="Symbol" w:hint="default"/>
      </w:rPr>
    </w:lvl>
    <w:lvl w:ilvl="4" w:tplc="43C8CED8" w:tentative="1">
      <w:start w:val="1"/>
      <w:numFmt w:val="bullet"/>
      <w:lvlText w:val=""/>
      <w:lvlJc w:val="left"/>
      <w:pPr>
        <w:tabs>
          <w:tab w:val="num" w:pos="3600"/>
        </w:tabs>
        <w:ind w:left="3600" w:hanging="360"/>
      </w:pPr>
      <w:rPr>
        <w:rFonts w:ascii="Symbol" w:hAnsi="Symbol" w:hint="default"/>
      </w:rPr>
    </w:lvl>
    <w:lvl w:ilvl="5" w:tplc="B0BA59F0" w:tentative="1">
      <w:start w:val="1"/>
      <w:numFmt w:val="bullet"/>
      <w:lvlText w:val=""/>
      <w:lvlJc w:val="left"/>
      <w:pPr>
        <w:tabs>
          <w:tab w:val="num" w:pos="4320"/>
        </w:tabs>
        <w:ind w:left="4320" w:hanging="360"/>
      </w:pPr>
      <w:rPr>
        <w:rFonts w:ascii="Symbol" w:hAnsi="Symbol" w:hint="default"/>
      </w:rPr>
    </w:lvl>
    <w:lvl w:ilvl="6" w:tplc="B47A4DB2" w:tentative="1">
      <w:start w:val="1"/>
      <w:numFmt w:val="bullet"/>
      <w:lvlText w:val=""/>
      <w:lvlJc w:val="left"/>
      <w:pPr>
        <w:tabs>
          <w:tab w:val="num" w:pos="5040"/>
        </w:tabs>
        <w:ind w:left="5040" w:hanging="360"/>
      </w:pPr>
      <w:rPr>
        <w:rFonts w:ascii="Symbol" w:hAnsi="Symbol" w:hint="default"/>
      </w:rPr>
    </w:lvl>
    <w:lvl w:ilvl="7" w:tplc="047C568E" w:tentative="1">
      <w:start w:val="1"/>
      <w:numFmt w:val="bullet"/>
      <w:lvlText w:val=""/>
      <w:lvlJc w:val="left"/>
      <w:pPr>
        <w:tabs>
          <w:tab w:val="num" w:pos="5760"/>
        </w:tabs>
        <w:ind w:left="5760" w:hanging="360"/>
      </w:pPr>
      <w:rPr>
        <w:rFonts w:ascii="Symbol" w:hAnsi="Symbol" w:hint="default"/>
      </w:rPr>
    </w:lvl>
    <w:lvl w:ilvl="8" w:tplc="0E0E993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CF41EE5"/>
    <w:multiLevelType w:val="hybridMultilevel"/>
    <w:tmpl w:val="D9E491CA"/>
    <w:lvl w:ilvl="0" w:tplc="59C42D92">
      <w:start w:val="1"/>
      <w:numFmt w:val="bullet"/>
      <w:lvlText w:val=""/>
      <w:lvlJc w:val="left"/>
      <w:pPr>
        <w:tabs>
          <w:tab w:val="num" w:pos="720"/>
        </w:tabs>
        <w:ind w:left="720" w:hanging="360"/>
      </w:pPr>
      <w:rPr>
        <w:rFonts w:ascii="Symbol" w:hAnsi="Symbol" w:hint="default"/>
      </w:rPr>
    </w:lvl>
    <w:lvl w:ilvl="1" w:tplc="BE7ADD18" w:tentative="1">
      <w:start w:val="1"/>
      <w:numFmt w:val="bullet"/>
      <w:lvlText w:val=""/>
      <w:lvlJc w:val="left"/>
      <w:pPr>
        <w:tabs>
          <w:tab w:val="num" w:pos="1440"/>
        </w:tabs>
        <w:ind w:left="1440" w:hanging="360"/>
      </w:pPr>
      <w:rPr>
        <w:rFonts w:ascii="Symbol" w:hAnsi="Symbol" w:hint="default"/>
      </w:rPr>
    </w:lvl>
    <w:lvl w:ilvl="2" w:tplc="7C8C971A" w:tentative="1">
      <w:start w:val="1"/>
      <w:numFmt w:val="bullet"/>
      <w:lvlText w:val=""/>
      <w:lvlJc w:val="left"/>
      <w:pPr>
        <w:tabs>
          <w:tab w:val="num" w:pos="2160"/>
        </w:tabs>
        <w:ind w:left="2160" w:hanging="360"/>
      </w:pPr>
      <w:rPr>
        <w:rFonts w:ascii="Symbol" w:hAnsi="Symbol" w:hint="default"/>
      </w:rPr>
    </w:lvl>
    <w:lvl w:ilvl="3" w:tplc="5C664DF0" w:tentative="1">
      <w:start w:val="1"/>
      <w:numFmt w:val="bullet"/>
      <w:lvlText w:val=""/>
      <w:lvlJc w:val="left"/>
      <w:pPr>
        <w:tabs>
          <w:tab w:val="num" w:pos="2880"/>
        </w:tabs>
        <w:ind w:left="2880" w:hanging="360"/>
      </w:pPr>
      <w:rPr>
        <w:rFonts w:ascii="Symbol" w:hAnsi="Symbol" w:hint="default"/>
      </w:rPr>
    </w:lvl>
    <w:lvl w:ilvl="4" w:tplc="5D1ED5CE" w:tentative="1">
      <w:start w:val="1"/>
      <w:numFmt w:val="bullet"/>
      <w:lvlText w:val=""/>
      <w:lvlJc w:val="left"/>
      <w:pPr>
        <w:tabs>
          <w:tab w:val="num" w:pos="3600"/>
        </w:tabs>
        <w:ind w:left="3600" w:hanging="360"/>
      </w:pPr>
      <w:rPr>
        <w:rFonts w:ascii="Symbol" w:hAnsi="Symbol" w:hint="default"/>
      </w:rPr>
    </w:lvl>
    <w:lvl w:ilvl="5" w:tplc="E746196C" w:tentative="1">
      <w:start w:val="1"/>
      <w:numFmt w:val="bullet"/>
      <w:lvlText w:val=""/>
      <w:lvlJc w:val="left"/>
      <w:pPr>
        <w:tabs>
          <w:tab w:val="num" w:pos="4320"/>
        </w:tabs>
        <w:ind w:left="4320" w:hanging="360"/>
      </w:pPr>
      <w:rPr>
        <w:rFonts w:ascii="Symbol" w:hAnsi="Symbol" w:hint="default"/>
      </w:rPr>
    </w:lvl>
    <w:lvl w:ilvl="6" w:tplc="9D9C0C32" w:tentative="1">
      <w:start w:val="1"/>
      <w:numFmt w:val="bullet"/>
      <w:lvlText w:val=""/>
      <w:lvlJc w:val="left"/>
      <w:pPr>
        <w:tabs>
          <w:tab w:val="num" w:pos="5040"/>
        </w:tabs>
        <w:ind w:left="5040" w:hanging="360"/>
      </w:pPr>
      <w:rPr>
        <w:rFonts w:ascii="Symbol" w:hAnsi="Symbol" w:hint="default"/>
      </w:rPr>
    </w:lvl>
    <w:lvl w:ilvl="7" w:tplc="27AAF596" w:tentative="1">
      <w:start w:val="1"/>
      <w:numFmt w:val="bullet"/>
      <w:lvlText w:val=""/>
      <w:lvlJc w:val="left"/>
      <w:pPr>
        <w:tabs>
          <w:tab w:val="num" w:pos="5760"/>
        </w:tabs>
        <w:ind w:left="5760" w:hanging="360"/>
      </w:pPr>
      <w:rPr>
        <w:rFonts w:ascii="Symbol" w:hAnsi="Symbol" w:hint="default"/>
      </w:rPr>
    </w:lvl>
    <w:lvl w:ilvl="8" w:tplc="1D6C35D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FA30695"/>
    <w:multiLevelType w:val="hybridMultilevel"/>
    <w:tmpl w:val="51349B26"/>
    <w:lvl w:ilvl="0" w:tplc="999C8CC6">
      <w:start w:val="1"/>
      <w:numFmt w:val="bullet"/>
      <w:lvlText w:val=""/>
      <w:lvlJc w:val="left"/>
      <w:pPr>
        <w:tabs>
          <w:tab w:val="num" w:pos="720"/>
        </w:tabs>
        <w:ind w:left="720" w:hanging="360"/>
      </w:pPr>
      <w:rPr>
        <w:rFonts w:ascii="Symbol" w:hAnsi="Symbol" w:hint="default"/>
      </w:rPr>
    </w:lvl>
    <w:lvl w:ilvl="1" w:tplc="2DB87000" w:tentative="1">
      <w:start w:val="1"/>
      <w:numFmt w:val="bullet"/>
      <w:lvlText w:val=""/>
      <w:lvlJc w:val="left"/>
      <w:pPr>
        <w:tabs>
          <w:tab w:val="num" w:pos="1440"/>
        </w:tabs>
        <w:ind w:left="1440" w:hanging="360"/>
      </w:pPr>
      <w:rPr>
        <w:rFonts w:ascii="Symbol" w:hAnsi="Symbol" w:hint="default"/>
      </w:rPr>
    </w:lvl>
    <w:lvl w:ilvl="2" w:tplc="34F4FAE4" w:tentative="1">
      <w:start w:val="1"/>
      <w:numFmt w:val="bullet"/>
      <w:lvlText w:val=""/>
      <w:lvlJc w:val="left"/>
      <w:pPr>
        <w:tabs>
          <w:tab w:val="num" w:pos="2160"/>
        </w:tabs>
        <w:ind w:left="2160" w:hanging="360"/>
      </w:pPr>
      <w:rPr>
        <w:rFonts w:ascii="Symbol" w:hAnsi="Symbol" w:hint="default"/>
      </w:rPr>
    </w:lvl>
    <w:lvl w:ilvl="3" w:tplc="867A8286" w:tentative="1">
      <w:start w:val="1"/>
      <w:numFmt w:val="bullet"/>
      <w:lvlText w:val=""/>
      <w:lvlJc w:val="left"/>
      <w:pPr>
        <w:tabs>
          <w:tab w:val="num" w:pos="2880"/>
        </w:tabs>
        <w:ind w:left="2880" w:hanging="360"/>
      </w:pPr>
      <w:rPr>
        <w:rFonts w:ascii="Symbol" w:hAnsi="Symbol" w:hint="default"/>
      </w:rPr>
    </w:lvl>
    <w:lvl w:ilvl="4" w:tplc="EED273A4" w:tentative="1">
      <w:start w:val="1"/>
      <w:numFmt w:val="bullet"/>
      <w:lvlText w:val=""/>
      <w:lvlJc w:val="left"/>
      <w:pPr>
        <w:tabs>
          <w:tab w:val="num" w:pos="3600"/>
        </w:tabs>
        <w:ind w:left="3600" w:hanging="360"/>
      </w:pPr>
      <w:rPr>
        <w:rFonts w:ascii="Symbol" w:hAnsi="Symbol" w:hint="default"/>
      </w:rPr>
    </w:lvl>
    <w:lvl w:ilvl="5" w:tplc="B89E05C6" w:tentative="1">
      <w:start w:val="1"/>
      <w:numFmt w:val="bullet"/>
      <w:lvlText w:val=""/>
      <w:lvlJc w:val="left"/>
      <w:pPr>
        <w:tabs>
          <w:tab w:val="num" w:pos="4320"/>
        </w:tabs>
        <w:ind w:left="4320" w:hanging="360"/>
      </w:pPr>
      <w:rPr>
        <w:rFonts w:ascii="Symbol" w:hAnsi="Symbol" w:hint="default"/>
      </w:rPr>
    </w:lvl>
    <w:lvl w:ilvl="6" w:tplc="F85EF548" w:tentative="1">
      <w:start w:val="1"/>
      <w:numFmt w:val="bullet"/>
      <w:lvlText w:val=""/>
      <w:lvlJc w:val="left"/>
      <w:pPr>
        <w:tabs>
          <w:tab w:val="num" w:pos="5040"/>
        </w:tabs>
        <w:ind w:left="5040" w:hanging="360"/>
      </w:pPr>
      <w:rPr>
        <w:rFonts w:ascii="Symbol" w:hAnsi="Symbol" w:hint="default"/>
      </w:rPr>
    </w:lvl>
    <w:lvl w:ilvl="7" w:tplc="58DA2484" w:tentative="1">
      <w:start w:val="1"/>
      <w:numFmt w:val="bullet"/>
      <w:lvlText w:val=""/>
      <w:lvlJc w:val="left"/>
      <w:pPr>
        <w:tabs>
          <w:tab w:val="num" w:pos="5760"/>
        </w:tabs>
        <w:ind w:left="5760" w:hanging="360"/>
      </w:pPr>
      <w:rPr>
        <w:rFonts w:ascii="Symbol" w:hAnsi="Symbol" w:hint="default"/>
      </w:rPr>
    </w:lvl>
    <w:lvl w:ilvl="8" w:tplc="29F4F40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46214AD"/>
    <w:multiLevelType w:val="hybridMultilevel"/>
    <w:tmpl w:val="BF942B14"/>
    <w:lvl w:ilvl="0" w:tplc="1E6CA01A">
      <w:start w:val="1"/>
      <w:numFmt w:val="bullet"/>
      <w:lvlText w:val=""/>
      <w:lvlJc w:val="left"/>
      <w:pPr>
        <w:tabs>
          <w:tab w:val="num" w:pos="720"/>
        </w:tabs>
        <w:ind w:left="720" w:hanging="360"/>
      </w:pPr>
      <w:rPr>
        <w:rFonts w:ascii="Symbol" w:hAnsi="Symbol" w:hint="default"/>
      </w:rPr>
    </w:lvl>
    <w:lvl w:ilvl="1" w:tplc="9192078A" w:tentative="1">
      <w:start w:val="1"/>
      <w:numFmt w:val="bullet"/>
      <w:lvlText w:val=""/>
      <w:lvlJc w:val="left"/>
      <w:pPr>
        <w:tabs>
          <w:tab w:val="num" w:pos="1440"/>
        </w:tabs>
        <w:ind w:left="1440" w:hanging="360"/>
      </w:pPr>
      <w:rPr>
        <w:rFonts w:ascii="Symbol" w:hAnsi="Symbol" w:hint="default"/>
      </w:rPr>
    </w:lvl>
    <w:lvl w:ilvl="2" w:tplc="72165680" w:tentative="1">
      <w:start w:val="1"/>
      <w:numFmt w:val="bullet"/>
      <w:lvlText w:val=""/>
      <w:lvlJc w:val="left"/>
      <w:pPr>
        <w:tabs>
          <w:tab w:val="num" w:pos="2160"/>
        </w:tabs>
        <w:ind w:left="2160" w:hanging="360"/>
      </w:pPr>
      <w:rPr>
        <w:rFonts w:ascii="Symbol" w:hAnsi="Symbol" w:hint="default"/>
      </w:rPr>
    </w:lvl>
    <w:lvl w:ilvl="3" w:tplc="E4402DBA" w:tentative="1">
      <w:start w:val="1"/>
      <w:numFmt w:val="bullet"/>
      <w:lvlText w:val=""/>
      <w:lvlJc w:val="left"/>
      <w:pPr>
        <w:tabs>
          <w:tab w:val="num" w:pos="2880"/>
        </w:tabs>
        <w:ind w:left="2880" w:hanging="360"/>
      </w:pPr>
      <w:rPr>
        <w:rFonts w:ascii="Symbol" w:hAnsi="Symbol" w:hint="default"/>
      </w:rPr>
    </w:lvl>
    <w:lvl w:ilvl="4" w:tplc="8506B45A" w:tentative="1">
      <w:start w:val="1"/>
      <w:numFmt w:val="bullet"/>
      <w:lvlText w:val=""/>
      <w:lvlJc w:val="left"/>
      <w:pPr>
        <w:tabs>
          <w:tab w:val="num" w:pos="3600"/>
        </w:tabs>
        <w:ind w:left="3600" w:hanging="360"/>
      </w:pPr>
      <w:rPr>
        <w:rFonts w:ascii="Symbol" w:hAnsi="Symbol" w:hint="default"/>
      </w:rPr>
    </w:lvl>
    <w:lvl w:ilvl="5" w:tplc="5F04B134" w:tentative="1">
      <w:start w:val="1"/>
      <w:numFmt w:val="bullet"/>
      <w:lvlText w:val=""/>
      <w:lvlJc w:val="left"/>
      <w:pPr>
        <w:tabs>
          <w:tab w:val="num" w:pos="4320"/>
        </w:tabs>
        <w:ind w:left="4320" w:hanging="360"/>
      </w:pPr>
      <w:rPr>
        <w:rFonts w:ascii="Symbol" w:hAnsi="Symbol" w:hint="default"/>
      </w:rPr>
    </w:lvl>
    <w:lvl w:ilvl="6" w:tplc="A4E6BC5C" w:tentative="1">
      <w:start w:val="1"/>
      <w:numFmt w:val="bullet"/>
      <w:lvlText w:val=""/>
      <w:lvlJc w:val="left"/>
      <w:pPr>
        <w:tabs>
          <w:tab w:val="num" w:pos="5040"/>
        </w:tabs>
        <w:ind w:left="5040" w:hanging="360"/>
      </w:pPr>
      <w:rPr>
        <w:rFonts w:ascii="Symbol" w:hAnsi="Symbol" w:hint="default"/>
      </w:rPr>
    </w:lvl>
    <w:lvl w:ilvl="7" w:tplc="B57002C0" w:tentative="1">
      <w:start w:val="1"/>
      <w:numFmt w:val="bullet"/>
      <w:lvlText w:val=""/>
      <w:lvlJc w:val="left"/>
      <w:pPr>
        <w:tabs>
          <w:tab w:val="num" w:pos="5760"/>
        </w:tabs>
        <w:ind w:left="5760" w:hanging="360"/>
      </w:pPr>
      <w:rPr>
        <w:rFonts w:ascii="Symbol" w:hAnsi="Symbol" w:hint="default"/>
      </w:rPr>
    </w:lvl>
    <w:lvl w:ilvl="8" w:tplc="B8C4B39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5D75967"/>
    <w:multiLevelType w:val="multilevel"/>
    <w:tmpl w:val="0978BA90"/>
    <w:numStyleLink w:val="Aufzhlung"/>
  </w:abstractNum>
  <w:abstractNum w:abstractNumId="9" w15:restartNumberingAfterBreak="0">
    <w:nsid w:val="56C764C8"/>
    <w:multiLevelType w:val="hybridMultilevel"/>
    <w:tmpl w:val="4B6CC406"/>
    <w:lvl w:ilvl="0" w:tplc="97587AC6">
      <w:start w:val="1"/>
      <w:numFmt w:val="bullet"/>
      <w:lvlText w:val=""/>
      <w:lvlJc w:val="left"/>
      <w:pPr>
        <w:tabs>
          <w:tab w:val="num" w:pos="720"/>
        </w:tabs>
        <w:ind w:left="720" w:hanging="360"/>
      </w:pPr>
      <w:rPr>
        <w:rFonts w:ascii="Symbol" w:hAnsi="Symbol" w:hint="default"/>
      </w:rPr>
    </w:lvl>
    <w:lvl w:ilvl="1" w:tplc="8D1E638E" w:tentative="1">
      <w:start w:val="1"/>
      <w:numFmt w:val="bullet"/>
      <w:lvlText w:val=""/>
      <w:lvlJc w:val="left"/>
      <w:pPr>
        <w:tabs>
          <w:tab w:val="num" w:pos="1440"/>
        </w:tabs>
        <w:ind w:left="1440" w:hanging="360"/>
      </w:pPr>
      <w:rPr>
        <w:rFonts w:ascii="Symbol" w:hAnsi="Symbol" w:hint="default"/>
      </w:rPr>
    </w:lvl>
    <w:lvl w:ilvl="2" w:tplc="A9E8BE70" w:tentative="1">
      <w:start w:val="1"/>
      <w:numFmt w:val="bullet"/>
      <w:lvlText w:val=""/>
      <w:lvlJc w:val="left"/>
      <w:pPr>
        <w:tabs>
          <w:tab w:val="num" w:pos="2160"/>
        </w:tabs>
        <w:ind w:left="2160" w:hanging="360"/>
      </w:pPr>
      <w:rPr>
        <w:rFonts w:ascii="Symbol" w:hAnsi="Symbol" w:hint="default"/>
      </w:rPr>
    </w:lvl>
    <w:lvl w:ilvl="3" w:tplc="5114BC30" w:tentative="1">
      <w:start w:val="1"/>
      <w:numFmt w:val="bullet"/>
      <w:lvlText w:val=""/>
      <w:lvlJc w:val="left"/>
      <w:pPr>
        <w:tabs>
          <w:tab w:val="num" w:pos="2880"/>
        </w:tabs>
        <w:ind w:left="2880" w:hanging="360"/>
      </w:pPr>
      <w:rPr>
        <w:rFonts w:ascii="Symbol" w:hAnsi="Symbol" w:hint="default"/>
      </w:rPr>
    </w:lvl>
    <w:lvl w:ilvl="4" w:tplc="21D44BEA" w:tentative="1">
      <w:start w:val="1"/>
      <w:numFmt w:val="bullet"/>
      <w:lvlText w:val=""/>
      <w:lvlJc w:val="left"/>
      <w:pPr>
        <w:tabs>
          <w:tab w:val="num" w:pos="3600"/>
        </w:tabs>
        <w:ind w:left="3600" w:hanging="360"/>
      </w:pPr>
      <w:rPr>
        <w:rFonts w:ascii="Symbol" w:hAnsi="Symbol" w:hint="default"/>
      </w:rPr>
    </w:lvl>
    <w:lvl w:ilvl="5" w:tplc="A11AED4C" w:tentative="1">
      <w:start w:val="1"/>
      <w:numFmt w:val="bullet"/>
      <w:lvlText w:val=""/>
      <w:lvlJc w:val="left"/>
      <w:pPr>
        <w:tabs>
          <w:tab w:val="num" w:pos="4320"/>
        </w:tabs>
        <w:ind w:left="4320" w:hanging="360"/>
      </w:pPr>
      <w:rPr>
        <w:rFonts w:ascii="Symbol" w:hAnsi="Symbol" w:hint="default"/>
      </w:rPr>
    </w:lvl>
    <w:lvl w:ilvl="6" w:tplc="30B63D3E" w:tentative="1">
      <w:start w:val="1"/>
      <w:numFmt w:val="bullet"/>
      <w:lvlText w:val=""/>
      <w:lvlJc w:val="left"/>
      <w:pPr>
        <w:tabs>
          <w:tab w:val="num" w:pos="5040"/>
        </w:tabs>
        <w:ind w:left="5040" w:hanging="360"/>
      </w:pPr>
      <w:rPr>
        <w:rFonts w:ascii="Symbol" w:hAnsi="Symbol" w:hint="default"/>
      </w:rPr>
    </w:lvl>
    <w:lvl w:ilvl="7" w:tplc="F1944CAC" w:tentative="1">
      <w:start w:val="1"/>
      <w:numFmt w:val="bullet"/>
      <w:lvlText w:val=""/>
      <w:lvlJc w:val="left"/>
      <w:pPr>
        <w:tabs>
          <w:tab w:val="num" w:pos="5760"/>
        </w:tabs>
        <w:ind w:left="5760" w:hanging="360"/>
      </w:pPr>
      <w:rPr>
        <w:rFonts w:ascii="Symbol" w:hAnsi="Symbol" w:hint="default"/>
      </w:rPr>
    </w:lvl>
    <w:lvl w:ilvl="8" w:tplc="F8EAD41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60468204">
    <w:abstractNumId w:val="3"/>
  </w:num>
  <w:num w:numId="2" w16cid:durableId="970787404">
    <w:abstractNumId w:val="10"/>
  </w:num>
  <w:num w:numId="3" w16cid:durableId="1041326488">
    <w:abstractNumId w:val="8"/>
  </w:num>
  <w:num w:numId="4" w16cid:durableId="1386295315">
    <w:abstractNumId w:val="1"/>
  </w:num>
  <w:num w:numId="5" w16cid:durableId="1958565025">
    <w:abstractNumId w:val="7"/>
  </w:num>
  <w:num w:numId="6" w16cid:durableId="1629238152">
    <w:abstractNumId w:val="2"/>
  </w:num>
  <w:num w:numId="7" w16cid:durableId="734083655">
    <w:abstractNumId w:val="4"/>
  </w:num>
  <w:num w:numId="8" w16cid:durableId="1736124248">
    <w:abstractNumId w:val="0"/>
  </w:num>
  <w:num w:numId="9" w16cid:durableId="600265152">
    <w:abstractNumId w:val="5"/>
  </w:num>
  <w:num w:numId="10" w16cid:durableId="1955746036">
    <w:abstractNumId w:val="9"/>
  </w:num>
  <w:num w:numId="11" w16cid:durableId="19093455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4F"/>
    <w:rsid w:val="00010E92"/>
    <w:rsid w:val="00134E39"/>
    <w:rsid w:val="00194A20"/>
    <w:rsid w:val="002014D3"/>
    <w:rsid w:val="00227125"/>
    <w:rsid w:val="00262FD5"/>
    <w:rsid w:val="0028593E"/>
    <w:rsid w:val="002946B8"/>
    <w:rsid w:val="00335E63"/>
    <w:rsid w:val="00350F98"/>
    <w:rsid w:val="0035532E"/>
    <w:rsid w:val="003B676F"/>
    <w:rsid w:val="003C28FE"/>
    <w:rsid w:val="003D39F4"/>
    <w:rsid w:val="00433749"/>
    <w:rsid w:val="00483B87"/>
    <w:rsid w:val="005B1ADB"/>
    <w:rsid w:val="005E4D4F"/>
    <w:rsid w:val="006A12A0"/>
    <w:rsid w:val="007378C8"/>
    <w:rsid w:val="00741EC0"/>
    <w:rsid w:val="00752F6B"/>
    <w:rsid w:val="007A1BED"/>
    <w:rsid w:val="00803917"/>
    <w:rsid w:val="009410D4"/>
    <w:rsid w:val="00967F48"/>
    <w:rsid w:val="00984223"/>
    <w:rsid w:val="009865DB"/>
    <w:rsid w:val="009D4DBA"/>
    <w:rsid w:val="009D7DF6"/>
    <w:rsid w:val="009F094D"/>
    <w:rsid w:val="00A07737"/>
    <w:rsid w:val="00A156E4"/>
    <w:rsid w:val="00A35AD9"/>
    <w:rsid w:val="00A6148D"/>
    <w:rsid w:val="00AD6E93"/>
    <w:rsid w:val="00AF2D0E"/>
    <w:rsid w:val="00B4389F"/>
    <w:rsid w:val="00BF05FA"/>
    <w:rsid w:val="00C53E47"/>
    <w:rsid w:val="00CE1A70"/>
    <w:rsid w:val="00D14DB8"/>
    <w:rsid w:val="00D23DC3"/>
    <w:rsid w:val="00D32663"/>
    <w:rsid w:val="00D53E86"/>
    <w:rsid w:val="00D736F8"/>
    <w:rsid w:val="00E32FFE"/>
    <w:rsid w:val="00E520E6"/>
    <w:rsid w:val="00E656F1"/>
    <w:rsid w:val="00F46C89"/>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89484"/>
  <w15:chartTrackingRefBased/>
  <w15:docId w15:val="{1DDE8F50-5BF0-4210-B83B-13103903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styleId="Hyperlink">
    <w:name w:val="Hyperlink"/>
    <w:uiPriority w:val="99"/>
    <w:unhideWhenUsed/>
    <w:rsid w:val="009F094D"/>
    <w:rPr>
      <w:color w:val="0563C1"/>
      <w:u w:val="singl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character" w:styleId="NichtaufgelsteErwhnung">
    <w:name w:val="Unresolved Mention"/>
    <w:uiPriority w:val="99"/>
    <w:semiHidden/>
    <w:unhideWhenUsed/>
    <w:rsid w:val="009F094D"/>
    <w:rPr>
      <w:color w:val="605E5C"/>
      <w:shd w:val="clear" w:color="auto" w:fill="E1DFDD"/>
    </w:rPr>
  </w:style>
  <w:style w:type="character" w:styleId="Kommentarzeichen">
    <w:name w:val="annotation reference"/>
    <w:uiPriority w:val="99"/>
    <w:semiHidden/>
    <w:unhideWhenUsed/>
    <w:rsid w:val="006A12A0"/>
    <w:rPr>
      <w:sz w:val="16"/>
      <w:szCs w:val="16"/>
    </w:rPr>
  </w:style>
  <w:style w:type="paragraph" w:customStyle="1" w:styleId="Literatur">
    <w:name w:val="Literatur"/>
    <w:basedOn w:val="Standard"/>
    <w:rsid w:val="005E4D4F"/>
    <w:pPr>
      <w:ind w:left="284" w:hanging="284"/>
    </w:pPr>
    <w:rPr>
      <w:rFonts w:cs="Arial"/>
      <w:szCs w:val="20"/>
      <w:lang w:eastAsia="de-DE"/>
    </w:rPr>
  </w:style>
  <w:style w:type="paragraph" w:styleId="Kommentartext">
    <w:name w:val="annotation text"/>
    <w:basedOn w:val="Standard"/>
    <w:link w:val="KommentartextZchn"/>
    <w:uiPriority w:val="99"/>
    <w:semiHidden/>
    <w:unhideWhenUsed/>
    <w:rsid w:val="006A12A0"/>
    <w:rPr>
      <w:szCs w:val="20"/>
    </w:rPr>
  </w:style>
  <w:style w:type="character" w:customStyle="1" w:styleId="KommentartextZchn">
    <w:name w:val="Kommentartext Zchn"/>
    <w:link w:val="Kommentartext"/>
    <w:uiPriority w:val="99"/>
    <w:semiHidden/>
    <w:rsid w:val="006A12A0"/>
    <w:rPr>
      <w:rFonts w:ascii="Arial" w:hAnsi="Arial"/>
      <w:lang w:val="de-DE" w:eastAsia="ko-KR"/>
    </w:rPr>
  </w:style>
  <w:style w:type="paragraph" w:styleId="Kommentarthema">
    <w:name w:val="annotation subject"/>
    <w:basedOn w:val="Kommentartext"/>
    <w:next w:val="Kommentartext"/>
    <w:link w:val="KommentarthemaZchn"/>
    <w:uiPriority w:val="99"/>
    <w:semiHidden/>
    <w:unhideWhenUsed/>
    <w:rsid w:val="006A12A0"/>
    <w:rPr>
      <w:b/>
      <w:bCs/>
    </w:rPr>
  </w:style>
  <w:style w:type="character" w:customStyle="1" w:styleId="KommentarthemaZchn">
    <w:name w:val="Kommentarthema Zchn"/>
    <w:link w:val="Kommentarthema"/>
    <w:uiPriority w:val="99"/>
    <w:semiHidden/>
    <w:rsid w:val="006A12A0"/>
    <w:rPr>
      <w:rFonts w:ascii="Arial" w:hAnsi="Arial"/>
      <w:b/>
      <w:bCs/>
      <w:lang w:val="de-DE" w:eastAsia="ko-KR"/>
    </w:rPr>
  </w:style>
  <w:style w:type="paragraph" w:styleId="Literaturverzeichnis">
    <w:name w:val="Bibliography"/>
    <w:basedOn w:val="Standard"/>
    <w:next w:val="Standard"/>
    <w:uiPriority w:val="37"/>
    <w:unhideWhenUsed/>
    <w:rsid w:val="00AD6E93"/>
    <w:pPr>
      <w:tabs>
        <w:tab w:val="left" w:pos="384"/>
      </w:tabs>
      <w:ind w:left="384" w:hanging="384"/>
    </w:pPr>
  </w:style>
  <w:style w:type="paragraph" w:styleId="berarbeitung">
    <w:name w:val="Revision"/>
    <w:hidden/>
    <w:uiPriority w:val="99"/>
    <w:semiHidden/>
    <w:rsid w:val="00B4389F"/>
    <w:rPr>
      <w:rFonts w:ascii="Arial" w:hAnsi="Arial"/>
      <w:szCs w:val="24"/>
      <w:lang w:val="de-DE" w:eastAsia="ko-KR"/>
    </w:rPr>
  </w:style>
  <w:style w:type="paragraph" w:styleId="Listenabsatz">
    <w:name w:val="List Paragraph"/>
    <w:basedOn w:val="Standard"/>
    <w:uiPriority w:val="34"/>
    <w:qFormat/>
    <w:rsid w:val="00433749"/>
    <w:pPr>
      <w:ind w:left="720"/>
      <w:contextualSpacing/>
      <w:jc w:val="left"/>
    </w:pPr>
    <w:rPr>
      <w:rFonts w:ascii="Times New Roman" w:hAnsi="Times New Roman"/>
      <w:sz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47585">
      <w:bodyDiv w:val="1"/>
      <w:marLeft w:val="0"/>
      <w:marRight w:val="0"/>
      <w:marTop w:val="0"/>
      <w:marBottom w:val="0"/>
      <w:divBdr>
        <w:top w:val="none" w:sz="0" w:space="0" w:color="auto"/>
        <w:left w:val="none" w:sz="0" w:space="0" w:color="auto"/>
        <w:bottom w:val="none" w:sz="0" w:space="0" w:color="auto"/>
        <w:right w:val="none" w:sz="0" w:space="0" w:color="auto"/>
      </w:divBdr>
    </w:div>
    <w:div w:id="743188875">
      <w:bodyDiv w:val="1"/>
      <w:marLeft w:val="0"/>
      <w:marRight w:val="0"/>
      <w:marTop w:val="0"/>
      <w:marBottom w:val="0"/>
      <w:divBdr>
        <w:top w:val="none" w:sz="0" w:space="0" w:color="auto"/>
        <w:left w:val="none" w:sz="0" w:space="0" w:color="auto"/>
        <w:bottom w:val="none" w:sz="0" w:space="0" w:color="auto"/>
        <w:right w:val="none" w:sz="0" w:space="0" w:color="auto"/>
      </w:divBdr>
    </w:div>
    <w:div w:id="206020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rodin@energieinstitut-linz.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12467</Characters>
  <Application>Microsoft Office Word</Application>
  <DocSecurity>0</DocSecurity>
  <Lines>103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13109</CharactersWithSpaces>
  <SharedDoc>false</SharedDoc>
  <HLinks>
    <vt:vector size="6" baseType="variant">
      <vt:variant>
        <vt:i4>5898272</vt:i4>
      </vt:variant>
      <vt:variant>
        <vt:i4>0</vt:i4>
      </vt:variant>
      <vt:variant>
        <vt:i4>0</vt:i4>
      </vt:variant>
      <vt:variant>
        <vt:i4>5</vt:i4>
      </vt:variant>
      <vt:variant>
        <vt:lpwstr>mailto:rodin@energieinstitut-linz.at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V. Rodin (EI-JKU)</cp:lastModifiedBy>
  <cp:revision>4</cp:revision>
  <dcterms:created xsi:type="dcterms:W3CDTF">2022-11-11T07:00:00Z</dcterms:created>
  <dcterms:modified xsi:type="dcterms:W3CDTF">2022-11-11T07:08:00Z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zotero-version="6.0.15"&gt;&lt;session id="BktWlQds"/&gt;&lt;style id="http://www.zotero.org/styles/ieee" locale="en-GB" hasBibliography="1" bibliographyStyleHasBeenSet="1"/&gt;&lt;prefs&gt;&lt;pref name="fieldType" value="Field"/&gt;&lt;/prefs&gt;&lt;/data&gt;</vt:lpwstr>
  </property>
</Properties>
</file>