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1A21" w14:textId="58881458" w:rsidR="005E4D4F" w:rsidRPr="00D94A5A" w:rsidRDefault="00D94A5A" w:rsidP="005E4D4F">
      <w:pPr>
        <w:pStyle w:val="Abstract-Titel"/>
        <w:rPr>
          <w:lang w:val="en-US"/>
        </w:rPr>
      </w:pPr>
      <w:bookmarkStart w:id="0" w:name="_GoBack"/>
      <w:r w:rsidRPr="00D94A5A">
        <w:rPr>
          <w:lang w:val="en-US"/>
        </w:rPr>
        <w:t>Underlying determinants of energy efficiency and renewable energy adoption: factor analysis based on the Dutch household survey</w:t>
      </w:r>
    </w:p>
    <w:bookmarkEnd w:id="0"/>
    <w:p w14:paraId="227672B9" w14:textId="586B0B0A" w:rsidR="00D94A5A" w:rsidRPr="00D94A5A" w:rsidRDefault="00D94A5A" w:rsidP="00A156E4">
      <w:pPr>
        <w:pStyle w:val="AutorenOrganisation"/>
        <w:rPr>
          <w:lang w:val="en-US"/>
        </w:rPr>
      </w:pPr>
      <w:proofErr w:type="spellStart"/>
      <w:r w:rsidRPr="00D94A5A">
        <w:rPr>
          <w:lang w:val="en-US"/>
        </w:rPr>
        <w:t>Aktive</w:t>
      </w:r>
      <w:proofErr w:type="spellEnd"/>
      <w:r w:rsidRPr="00D94A5A">
        <w:rPr>
          <w:lang w:val="en-US"/>
        </w:rPr>
        <w:t xml:space="preserve"> </w:t>
      </w:r>
      <w:proofErr w:type="spellStart"/>
      <w:r w:rsidRPr="00D94A5A">
        <w:rPr>
          <w:lang w:val="en-US"/>
        </w:rPr>
        <w:t>Endkunden</w:t>
      </w:r>
      <w:proofErr w:type="spellEnd"/>
      <w:r w:rsidRPr="00D94A5A">
        <w:rPr>
          <w:lang w:val="en-US"/>
        </w:rPr>
        <w:t>-/</w:t>
      </w:r>
      <w:proofErr w:type="spellStart"/>
      <w:r w:rsidRPr="00D94A5A">
        <w:rPr>
          <w:lang w:val="en-US"/>
        </w:rPr>
        <w:t>Prosumerpartizipation</w:t>
      </w:r>
      <w:proofErr w:type="spellEnd"/>
      <w:r w:rsidRPr="00D94A5A">
        <w:rPr>
          <w:lang w:val="en-US"/>
        </w:rPr>
        <w:t xml:space="preserve"> &amp; </w:t>
      </w:r>
      <w:proofErr w:type="spellStart"/>
      <w:r w:rsidRPr="00D94A5A">
        <w:rPr>
          <w:lang w:val="en-US"/>
        </w:rPr>
        <w:t>Gebäudesektor</w:t>
      </w:r>
      <w:proofErr w:type="spellEnd"/>
    </w:p>
    <w:p w14:paraId="1D9362BD" w14:textId="77777777" w:rsidR="00D94A5A" w:rsidRPr="00D94A5A" w:rsidRDefault="00D94A5A" w:rsidP="00A156E4">
      <w:pPr>
        <w:pStyle w:val="AutorenOrganisation"/>
        <w:rPr>
          <w:lang w:val="en-US"/>
        </w:rPr>
      </w:pPr>
    </w:p>
    <w:p w14:paraId="1CBEA274" w14:textId="77777777" w:rsidR="00D94A5A" w:rsidRPr="00D94A5A" w:rsidRDefault="00D94A5A" w:rsidP="00A156E4">
      <w:pPr>
        <w:pStyle w:val="AutorenOrganisation"/>
        <w:rPr>
          <w:lang w:val="en-US"/>
        </w:rPr>
      </w:pPr>
      <w:r w:rsidRPr="00D94A5A">
        <w:rPr>
          <w:lang w:val="en-US"/>
        </w:rPr>
        <w:t>Ardak AKHATOVA</w:t>
      </w:r>
      <w:r w:rsidR="005E4D4F" w:rsidRPr="00D94A5A">
        <w:rPr>
          <w:vertAlign w:val="superscript"/>
          <w:lang w:val="en-US"/>
        </w:rPr>
        <w:footnoteReference w:id="1"/>
      </w:r>
      <w:r w:rsidR="00A156E4" w:rsidRPr="00D94A5A">
        <w:rPr>
          <w:vertAlign w:val="superscript"/>
          <w:lang w:val="en-US"/>
        </w:rPr>
        <w:t>(1)</w:t>
      </w:r>
      <w:r w:rsidR="005E4D4F" w:rsidRPr="00D94A5A">
        <w:rPr>
          <w:lang w:val="en-US"/>
        </w:rPr>
        <w:t xml:space="preserve">, </w:t>
      </w:r>
      <w:r w:rsidRPr="00D94A5A">
        <w:rPr>
          <w:lang w:val="en-US"/>
        </w:rPr>
        <w:t xml:space="preserve">Erkinai </w:t>
      </w:r>
      <w:proofErr w:type="gramStart"/>
      <w:r w:rsidRPr="00D94A5A">
        <w:rPr>
          <w:lang w:val="en-US"/>
        </w:rPr>
        <w:t>DERKENBAEVA</w:t>
      </w:r>
      <w:r w:rsidR="00A156E4" w:rsidRPr="00D94A5A">
        <w:rPr>
          <w:vertAlign w:val="superscript"/>
          <w:lang w:val="en-US"/>
        </w:rPr>
        <w:t>(</w:t>
      </w:r>
      <w:proofErr w:type="gramEnd"/>
      <w:r w:rsidR="00010E92" w:rsidRPr="00D94A5A">
        <w:rPr>
          <w:vertAlign w:val="superscript"/>
          <w:lang w:val="en-US"/>
        </w:rPr>
        <w:t>2</w:t>
      </w:r>
      <w:r w:rsidR="00A156E4" w:rsidRPr="00D94A5A">
        <w:rPr>
          <w:vertAlign w:val="superscript"/>
          <w:lang w:val="en-US"/>
        </w:rPr>
        <w:t>)</w:t>
      </w:r>
      <w:r w:rsidRPr="00D94A5A">
        <w:rPr>
          <w:lang w:val="en-US"/>
        </w:rPr>
        <w:t>, Eveline VAN LEEUWEN</w:t>
      </w:r>
      <w:r w:rsidRPr="00D94A5A">
        <w:rPr>
          <w:vertAlign w:val="superscript"/>
          <w:lang w:val="en-US"/>
        </w:rPr>
        <w:t>(2)</w:t>
      </w:r>
      <w:r w:rsidRPr="00D94A5A">
        <w:rPr>
          <w:lang w:val="en-US"/>
        </w:rPr>
        <w:t xml:space="preserve"> </w:t>
      </w:r>
    </w:p>
    <w:p w14:paraId="0AEFEF48" w14:textId="3D41B4B7" w:rsidR="005E4D4F" w:rsidRPr="00D94A5A" w:rsidRDefault="00D94A5A" w:rsidP="00A156E4">
      <w:pPr>
        <w:pStyle w:val="AutorenOrganisation"/>
        <w:rPr>
          <w:lang w:val="en-US"/>
        </w:rPr>
      </w:pPr>
      <w:r w:rsidRPr="00D94A5A">
        <w:rPr>
          <w:lang w:val="en-US"/>
        </w:rPr>
        <w:t>and Lukas KRANZL</w:t>
      </w:r>
    </w:p>
    <w:p w14:paraId="31BB6490" w14:textId="6380E06B" w:rsidR="005E4D4F" w:rsidRPr="00D94A5A" w:rsidRDefault="00A156E4" w:rsidP="005E4D4F">
      <w:pPr>
        <w:pStyle w:val="AutorenOrganisation"/>
        <w:rPr>
          <w:lang w:val="en-US"/>
        </w:rPr>
      </w:pPr>
      <w:r w:rsidRPr="00D94A5A">
        <w:rPr>
          <w:vertAlign w:val="superscript"/>
          <w:lang w:val="en-US"/>
        </w:rPr>
        <w:t>(</w:t>
      </w:r>
      <w:proofErr w:type="gramStart"/>
      <w:r w:rsidR="00010E92" w:rsidRPr="00D94A5A">
        <w:rPr>
          <w:vertAlign w:val="superscript"/>
          <w:lang w:val="en-US"/>
        </w:rPr>
        <w:t>1</w:t>
      </w:r>
      <w:r w:rsidRPr="00D94A5A">
        <w:rPr>
          <w:vertAlign w:val="superscript"/>
          <w:lang w:val="en-US"/>
        </w:rPr>
        <w:t>)</w:t>
      </w:r>
      <w:r w:rsidR="00D94A5A" w:rsidRPr="00D94A5A">
        <w:rPr>
          <w:lang w:val="en-US"/>
        </w:rPr>
        <w:t>TU</w:t>
      </w:r>
      <w:proofErr w:type="gramEnd"/>
      <w:r w:rsidR="00D94A5A" w:rsidRPr="00D94A5A">
        <w:rPr>
          <w:lang w:val="en-US"/>
        </w:rPr>
        <w:t xml:space="preserve"> Wien </w:t>
      </w:r>
      <w:r w:rsidRPr="00D94A5A">
        <w:rPr>
          <w:vertAlign w:val="superscript"/>
          <w:lang w:val="en-US"/>
        </w:rPr>
        <w:t>(</w:t>
      </w:r>
      <w:r w:rsidR="00010E92" w:rsidRPr="00D94A5A">
        <w:rPr>
          <w:vertAlign w:val="superscript"/>
          <w:lang w:val="en-US"/>
        </w:rPr>
        <w:t>2</w:t>
      </w:r>
      <w:r w:rsidRPr="00D94A5A">
        <w:rPr>
          <w:vertAlign w:val="superscript"/>
          <w:lang w:val="en-US"/>
        </w:rPr>
        <w:t>)</w:t>
      </w:r>
      <w:r w:rsidR="00D94A5A" w:rsidRPr="00D94A5A">
        <w:rPr>
          <w:lang w:val="en-US"/>
        </w:rPr>
        <w:t>Wageningen University</w:t>
      </w:r>
    </w:p>
    <w:p w14:paraId="7D0DC61F" w14:textId="77777777" w:rsidR="00A07737" w:rsidRPr="00D94A5A" w:rsidRDefault="00A07737" w:rsidP="00FB69AE">
      <w:pPr>
        <w:rPr>
          <w:lang w:val="en-US"/>
        </w:rPr>
      </w:pPr>
    </w:p>
    <w:p w14:paraId="14767CFD" w14:textId="6E4AAB64" w:rsidR="005E4D4F" w:rsidRPr="00D94A5A" w:rsidRDefault="005E4D4F" w:rsidP="005E4D4F">
      <w:pPr>
        <w:pStyle w:val="Ueberschrift"/>
        <w:rPr>
          <w:lang w:val="en-US"/>
        </w:rPr>
      </w:pPr>
      <w:r w:rsidRPr="00D94A5A">
        <w:rPr>
          <w:lang w:val="en-US"/>
        </w:rPr>
        <w:t xml:space="preserve">Motivation </w:t>
      </w:r>
      <w:r w:rsidR="00D94A5A">
        <w:rPr>
          <w:lang w:val="en-US"/>
        </w:rPr>
        <w:t>and Research Question</w:t>
      </w:r>
    </w:p>
    <w:p w14:paraId="041A4D9D" w14:textId="22E17CD1" w:rsidR="005E4D4F" w:rsidRPr="004B21BB" w:rsidRDefault="00D94A5A" w:rsidP="00227125">
      <w:pPr>
        <w:rPr>
          <w:rFonts w:cs="Arial"/>
          <w:szCs w:val="20"/>
          <w:lang w:val="en-US"/>
        </w:rPr>
      </w:pPr>
      <w:r w:rsidRPr="00401B65">
        <w:rPr>
          <w:rFonts w:cs="Arial"/>
          <w:szCs w:val="20"/>
          <w:lang w:val="en-US"/>
        </w:rPr>
        <w:t>Understanding the main factors behind the household investments in energy efficiency retrofits</w:t>
      </w:r>
      <w:r w:rsidR="002F63DF">
        <w:rPr>
          <w:rFonts w:cs="Arial"/>
          <w:szCs w:val="20"/>
          <w:lang w:val="en-US"/>
        </w:rPr>
        <w:t xml:space="preserve"> (EER)</w:t>
      </w:r>
      <w:r w:rsidRPr="00401B65">
        <w:rPr>
          <w:rFonts w:cs="Arial"/>
          <w:szCs w:val="20"/>
          <w:lang w:val="en-US"/>
        </w:rPr>
        <w:t xml:space="preserve"> and renewable energy </w:t>
      </w:r>
      <w:r w:rsidR="002F63DF">
        <w:rPr>
          <w:rFonts w:cs="Arial"/>
          <w:szCs w:val="20"/>
          <w:lang w:val="en-US"/>
        </w:rPr>
        <w:t xml:space="preserve">(RE) </w:t>
      </w:r>
      <w:r w:rsidRPr="00401B65">
        <w:rPr>
          <w:rFonts w:cs="Arial"/>
          <w:szCs w:val="20"/>
          <w:lang w:val="en-US"/>
        </w:rPr>
        <w:t xml:space="preserve">adoption is essential for designing efficient and effective policies. In the Netherland, </w:t>
      </w:r>
      <w:r w:rsidR="0054258B">
        <w:rPr>
          <w:rFonts w:cs="Arial"/>
          <w:szCs w:val="20"/>
          <w:lang w:val="en-US"/>
        </w:rPr>
        <w:t xml:space="preserve">a </w:t>
      </w:r>
      <w:r w:rsidR="002F63DF">
        <w:rPr>
          <w:rFonts w:cs="Arial"/>
          <w:szCs w:val="20"/>
          <w:lang w:val="en-US"/>
        </w:rPr>
        <w:t>number of</w:t>
      </w:r>
      <w:r w:rsidRPr="00401B65">
        <w:rPr>
          <w:rFonts w:cs="Arial"/>
          <w:szCs w:val="20"/>
          <w:lang w:val="en-US"/>
        </w:rPr>
        <w:t xml:space="preserve"> factors</w:t>
      </w:r>
      <w:r w:rsidR="000D2469">
        <w:rPr>
          <w:rFonts w:cs="Arial"/>
          <w:szCs w:val="20"/>
          <w:lang w:val="en-US"/>
        </w:rPr>
        <w:t xml:space="preserve"> </w:t>
      </w:r>
      <w:r w:rsidRPr="00401B65">
        <w:rPr>
          <w:rFonts w:cs="Arial"/>
          <w:szCs w:val="20"/>
          <w:lang w:val="en-US"/>
        </w:rPr>
        <w:t>have been identifie</w:t>
      </w:r>
      <w:r w:rsidR="002F63DF">
        <w:rPr>
          <w:rFonts w:cs="Arial"/>
          <w:szCs w:val="20"/>
          <w:lang w:val="en-US"/>
        </w:rPr>
        <w:t xml:space="preserve">d as drivers and barriers of EER and RE adoption </w:t>
      </w:r>
      <w:r w:rsidRPr="00401B65">
        <w:rPr>
          <w:rFonts w:cs="Arial"/>
          <w:szCs w:val="20"/>
          <w:lang w:val="en-US"/>
        </w:rPr>
        <w:t xml:space="preserve">based on the </w:t>
      </w:r>
      <w:r w:rsidR="00E44436">
        <w:rPr>
          <w:rFonts w:cs="Arial"/>
          <w:szCs w:val="20"/>
          <w:lang w:val="en-US"/>
        </w:rPr>
        <w:t xml:space="preserve">earlier </w:t>
      </w:r>
      <w:r w:rsidRPr="00401B65">
        <w:rPr>
          <w:rFonts w:cs="Arial"/>
          <w:szCs w:val="20"/>
          <w:lang w:val="en-US"/>
        </w:rPr>
        <w:t>national</w:t>
      </w:r>
      <w:r w:rsidR="00E44436">
        <w:rPr>
          <w:rFonts w:cs="Arial"/>
          <w:szCs w:val="20"/>
          <w:lang w:val="en-US"/>
        </w:rPr>
        <w:t xml:space="preserve"> household</w:t>
      </w:r>
      <w:r w:rsidRPr="00401B65">
        <w:rPr>
          <w:rFonts w:cs="Arial"/>
          <w:szCs w:val="20"/>
          <w:lang w:val="en-US"/>
        </w:rPr>
        <w:t xml:space="preserve"> surveys</w:t>
      </w:r>
      <w:r w:rsidR="00E44436">
        <w:rPr>
          <w:rFonts w:cs="Arial"/>
          <w:szCs w:val="20"/>
          <w:lang w:val="en-US"/>
        </w:rPr>
        <w:t xml:space="preserve"> </w:t>
      </w:r>
      <w:r w:rsidR="002F63DF">
        <w:rPr>
          <w:rFonts w:cs="Arial"/>
          <w:szCs w:val="20"/>
          <w:lang w:val="en-US"/>
        </w:rPr>
        <w:fldChar w:fldCharType="begin" w:fldLock="1"/>
      </w:r>
      <w:r w:rsidR="0054258B">
        <w:rPr>
          <w:rFonts w:cs="Arial"/>
          <w:szCs w:val="20"/>
          <w:lang w:val="en-US"/>
        </w:rPr>
        <w:instrText>ADDIN CSL_CITATION {"citationItems":[{"id":"ITEM-1","itemData":{"DOI":"10.1016/j.enpol.2021.112659","ISSN":"03014215","author":[{"dropping-particle":"","family":"Halleck Vega","given":"Solmaria","non-dropping-particle":"","parse-names":false,"suffix":""},{"dropping-particle":"","family":"Leeuwen","given":"Eveline","non-dropping-particle":"van","parse-names":false,"suffix":""},{"dropping-particle":"","family":"Twillert","given":"Nienke","non-dropping-particle":"van","parse-names":false,"suffix":""}],"container-title":"Energy Policy","id":"ITEM-1","issued":{"date-parts":[["2022","1","1"]]},"page":"112659","publisher":"Elsevier","title":"Uptake of residential energy efficiency measures and renewable energy: Do spatial factors matter?","type":"article-journal","volume":"160"},"uris":["http://www.mendeley.com/documents/?uuid=3c1e998c-8765-3b82-a108-265e417eb213"]},{"id":"ITEM-2","itemData":{"DOI":"10.1016/j.enpol.2019.02.046","ISSN":"03014215","abstract":"The housing stock has a considerable share of 40% in energy consumption and 36% of CO2 emissions in the EU. In accordance to energy efficiency and emissions targets set by EU, The Netherlands has aimed to renovate 300,000 homes each year, leading to 50% reduction in CO2 emissions, by 2050. Many factors including low renovation rates create uncertainties in achieving these targets. The current study aims for understanding the barriers and drivers towards energy efficiency renovations (EERs) amongst Dutch homeowners, and to aid in gaining a better insight into the role of public authorities in promoting EERs. First, the extrinsic drivers, including policies and other initiatives in the EER process are explained. Second, the intrinsic drivers and intrinsic/extrinsic barriers are explored. Regression analyses are performed on the national Dutch survey data for renovators and potential renovators. Our main findings include: (a) desire to enhance the quality of their life, rather than the financial benefits, etc. is identified as the main driver; (b) the main barriers are the costs of EERs, complexities in the process, information barriers, and finding reliable experts and information; (c) For improvement in meeting renovation targets, the current Dutch policies need to consider all the decision criteria by homeowners, such as: Reducing the complexities; Time needed to obtain loans and subsidies; and Facilitating access to information.","author":[{"dropping-particle":"","family":"Ebrahimigharehbaghi","given":"Shima","non-dropping-particle":"","parse-names":false,"suffix":""},{"dropping-particle":"","family":"Qian","given":"Queena K.","non-dropping-particle":"","parse-names":false,"suffix":""},{"dropping-particle":"","family":"Meijer","given":"Frits M.","non-dropping-particle":"","parse-names":false,"suffix":""},{"dropping-particle":"","family":"Visscher","given":"Henk J.","non-dropping-particle":"","parse-names":false,"suffix":""}],"container-title":"Energy Policy","id":"ITEM-2","issued":{"date-parts":[["2019","6","1"]]},"page":"546-561","publisher":"Elsevier","title":"Unravelling Dutch homeowners’ behaviour towards energy efficiency renovations: What drives and hinders their decision-making?","type":"article-journal","volume":"129"},"uris":["http://www.mendeley.com/documents/?uuid=747badac-1b89-3bfb-afff-1461cba05c2d"]},{"id":"ITEM-3","itemData":{"DOI":"10.1080/09613218.2021.1929808","ISSN":"0961-3218","author":[{"dropping-particle":"","family":"Ebrahimigharehbaghi","given":"Shima","non-dropping-particle":"","parse-names":false,"suffix":""},{"dropping-particle":"","family":"Qian","given":"Queena K","non-dropping-particle":"","parse-names":false,"suffix":""},{"dropping-particle":"","family":"Vries","given":"Gerdien","non-dropping-particle":"de","parse-names":false,"suffix":""},{"dropping-particle":"","family":"Visscher","given":"Henk J","non-dropping-particle":"","parse-names":false,"suffix":""}],"container-title":"Building Research &amp; Information","id":"ITEM-3","issued":{"date-parts":[["2021","6","1"]]},"page":"1-25","title":"Identification of the behavioural factors in the decision-making processes of the energy efficiency renovations: Dutch homeowners","type":"article-journal"},"uris":["http://www.mendeley.com/documents/?uuid=ec4e6284-11c9-3b30-a526-8d25d7024442"]}],"mendeley":{"formattedCitation":"[1]–[3]","plainTextFormattedCitation":"[1]–[3]","previouslyFormattedCitation":"[1]–[3]"},"properties":{"noteIndex":0},"schema":"https://github.com/citation-style-language/schema/raw/master/csl-citation.json"}</w:instrText>
      </w:r>
      <w:r w:rsidR="002F63DF">
        <w:rPr>
          <w:rFonts w:cs="Arial"/>
          <w:szCs w:val="20"/>
          <w:lang w:val="en-US"/>
        </w:rPr>
        <w:fldChar w:fldCharType="separate"/>
      </w:r>
      <w:r w:rsidR="0054258B" w:rsidRPr="0054258B">
        <w:rPr>
          <w:rFonts w:cs="Arial"/>
          <w:noProof/>
          <w:szCs w:val="20"/>
          <w:lang w:val="en-US"/>
        </w:rPr>
        <w:t>[1]–[3]</w:t>
      </w:r>
      <w:r w:rsidR="002F63DF">
        <w:rPr>
          <w:rFonts w:cs="Arial"/>
          <w:szCs w:val="20"/>
          <w:lang w:val="en-US"/>
        </w:rPr>
        <w:fldChar w:fldCharType="end"/>
      </w:r>
      <w:r w:rsidRPr="00401B65">
        <w:rPr>
          <w:rFonts w:cs="Arial"/>
          <w:szCs w:val="20"/>
          <w:lang w:val="en-US"/>
        </w:rPr>
        <w:t>. However, the</w:t>
      </w:r>
      <w:r w:rsidR="002F63DF">
        <w:rPr>
          <w:rFonts w:cs="Arial"/>
          <w:szCs w:val="20"/>
          <w:lang w:val="en-US"/>
        </w:rPr>
        <w:t xml:space="preserve"> results of the regression analyses on the questionnaire survey</w:t>
      </w:r>
      <w:r w:rsidR="0054258B">
        <w:rPr>
          <w:rFonts w:cs="Arial"/>
          <w:szCs w:val="20"/>
          <w:lang w:val="en-US"/>
        </w:rPr>
        <w:t xml:space="preserve"> </w:t>
      </w:r>
      <w:r w:rsidR="00A2010D">
        <w:rPr>
          <w:rFonts w:cs="Arial"/>
          <w:szCs w:val="20"/>
          <w:lang w:val="en-US"/>
        </w:rPr>
        <w:t xml:space="preserve">suffer from </w:t>
      </w:r>
      <w:r w:rsidR="0054258B">
        <w:rPr>
          <w:rFonts w:cs="Arial"/>
          <w:szCs w:val="20"/>
          <w:lang w:val="en-US"/>
        </w:rPr>
        <w:t>high dimensionality (i.e.</w:t>
      </w:r>
      <w:r w:rsidRPr="00401B65">
        <w:rPr>
          <w:rFonts w:cs="Arial"/>
          <w:szCs w:val="20"/>
          <w:lang w:val="en-US"/>
        </w:rPr>
        <w:t xml:space="preserve"> too many </w:t>
      </w:r>
      <w:r w:rsidR="005021BC">
        <w:rPr>
          <w:rFonts w:cs="Arial"/>
          <w:szCs w:val="20"/>
          <w:lang w:val="en-US"/>
        </w:rPr>
        <w:t>variables</w:t>
      </w:r>
      <w:r w:rsidR="0054258B">
        <w:rPr>
          <w:rFonts w:cs="Arial"/>
          <w:szCs w:val="20"/>
          <w:lang w:val="en-US"/>
        </w:rPr>
        <w:t>)</w:t>
      </w:r>
      <w:r w:rsidR="00A2010D">
        <w:rPr>
          <w:rFonts w:cs="Arial"/>
          <w:szCs w:val="20"/>
          <w:lang w:val="en-US"/>
        </w:rPr>
        <w:t xml:space="preserve"> and inability to explain the relationship between variables.</w:t>
      </w:r>
      <w:r w:rsidR="001375F7">
        <w:rPr>
          <w:rFonts w:cs="Arial"/>
          <w:szCs w:val="20"/>
          <w:lang w:val="en-US"/>
        </w:rPr>
        <w:t xml:space="preserve"> </w:t>
      </w:r>
      <w:r w:rsidR="00A2010D">
        <w:rPr>
          <w:rFonts w:cs="Arial"/>
          <w:szCs w:val="20"/>
          <w:lang w:val="en-US"/>
        </w:rPr>
        <w:t xml:space="preserve">To address these shortcomings, </w:t>
      </w:r>
      <w:r w:rsidR="005021BC">
        <w:rPr>
          <w:rFonts w:cs="Arial"/>
          <w:szCs w:val="20"/>
          <w:lang w:val="en-US"/>
        </w:rPr>
        <w:t xml:space="preserve">we conduct </w:t>
      </w:r>
      <w:r w:rsidR="00E44436" w:rsidRPr="00E44436">
        <w:rPr>
          <w:rFonts w:cs="Arial"/>
          <w:szCs w:val="20"/>
          <w:lang w:val="en-US"/>
        </w:rPr>
        <w:t>the exploratory factor analysis</w:t>
      </w:r>
      <w:r w:rsidR="004F3320">
        <w:rPr>
          <w:rFonts w:cs="Arial"/>
          <w:szCs w:val="20"/>
          <w:lang w:val="en-US"/>
        </w:rPr>
        <w:t xml:space="preserve"> (FA)</w:t>
      </w:r>
      <w:r w:rsidR="00E44436" w:rsidRPr="00E44436">
        <w:rPr>
          <w:rFonts w:cs="Arial"/>
          <w:szCs w:val="20"/>
          <w:lang w:val="en-US"/>
        </w:rPr>
        <w:t xml:space="preserve"> to </w:t>
      </w:r>
      <w:r w:rsidR="00A2010D">
        <w:rPr>
          <w:rFonts w:cs="Arial"/>
          <w:szCs w:val="20"/>
          <w:lang w:val="en-US"/>
        </w:rPr>
        <w:t xml:space="preserve">identify the </w:t>
      </w:r>
      <w:r w:rsidR="00E44436" w:rsidRPr="00E44436">
        <w:rPr>
          <w:rFonts w:cs="Arial"/>
          <w:szCs w:val="20"/>
          <w:lang w:val="en-US"/>
        </w:rPr>
        <w:t>underlying factors</w:t>
      </w:r>
      <w:r w:rsidR="00A2010D">
        <w:rPr>
          <w:rFonts w:cs="Arial"/>
          <w:szCs w:val="20"/>
          <w:lang w:val="en-US"/>
        </w:rPr>
        <w:t xml:space="preserve"> behind a number of variables </w:t>
      </w:r>
      <w:r w:rsidR="00623017">
        <w:rPr>
          <w:rFonts w:cs="Arial"/>
          <w:szCs w:val="20"/>
          <w:lang w:val="en-US"/>
        </w:rPr>
        <w:t>important for EER and EE adoption.</w:t>
      </w:r>
    </w:p>
    <w:p w14:paraId="4A9BA532" w14:textId="19EF4A4F" w:rsidR="00D94A5A" w:rsidRPr="00D94A5A" w:rsidRDefault="00321B37" w:rsidP="00401B65">
      <w:pPr>
        <w:pStyle w:val="Ueberschrift"/>
        <w:rPr>
          <w:lang w:val="en-US"/>
        </w:rPr>
      </w:pPr>
      <w:r>
        <w:rPr>
          <w:lang w:val="en-US"/>
        </w:rPr>
        <w:t xml:space="preserve">Data and </w:t>
      </w:r>
      <w:r w:rsidR="00D94A5A">
        <w:rPr>
          <w:lang w:val="en-US"/>
        </w:rPr>
        <w:t>Method</w:t>
      </w:r>
    </w:p>
    <w:p w14:paraId="3661114A" w14:textId="543B4F55" w:rsidR="004B21BB" w:rsidRDefault="00321B37" w:rsidP="004B21BB">
      <w:pPr>
        <w:rPr>
          <w:rFonts w:cs="Arial"/>
          <w:szCs w:val="20"/>
          <w:lang w:val="en-US"/>
        </w:rPr>
      </w:pPr>
      <w:r w:rsidRPr="00321B37">
        <w:rPr>
          <w:rFonts w:cs="Arial"/>
          <w:szCs w:val="20"/>
          <w:lang w:val="en-US"/>
        </w:rPr>
        <w:t>Th</w:t>
      </w:r>
      <w:r>
        <w:rPr>
          <w:rFonts w:cs="Arial"/>
          <w:szCs w:val="20"/>
          <w:lang w:val="en-US"/>
        </w:rPr>
        <w:t xml:space="preserve">e data from </w:t>
      </w:r>
      <w:r w:rsidRPr="00321B37">
        <w:rPr>
          <w:rFonts w:cs="Arial"/>
          <w:szCs w:val="20"/>
          <w:lang w:val="en-US"/>
        </w:rPr>
        <w:t>Dutch national household survey (</w:t>
      </w:r>
      <w:proofErr w:type="spellStart"/>
      <w:r w:rsidRPr="00321B37">
        <w:rPr>
          <w:rFonts w:cs="Arial"/>
          <w:szCs w:val="20"/>
          <w:lang w:val="en-US"/>
        </w:rPr>
        <w:t>WoOn</w:t>
      </w:r>
      <w:proofErr w:type="spellEnd"/>
      <w:r w:rsidRPr="00321B37">
        <w:rPr>
          <w:rFonts w:cs="Arial"/>
          <w:szCs w:val="20"/>
          <w:lang w:val="en-US"/>
        </w:rPr>
        <w:t>) from 2021</w:t>
      </w:r>
      <w:r>
        <w:rPr>
          <w:rFonts w:cs="Arial"/>
          <w:szCs w:val="20"/>
          <w:lang w:val="en-US"/>
        </w:rPr>
        <w:t xml:space="preserve"> consisting of about 25,000 observations are taken as the basis for the </w:t>
      </w:r>
      <w:r w:rsidR="004F3320">
        <w:rPr>
          <w:rFonts w:cs="Arial"/>
          <w:szCs w:val="20"/>
          <w:lang w:val="en-US"/>
        </w:rPr>
        <w:t>FA</w:t>
      </w:r>
      <w:r w:rsidRPr="00321B37">
        <w:rPr>
          <w:rFonts w:cs="Arial"/>
          <w:szCs w:val="20"/>
          <w:lang w:val="en-US"/>
        </w:rPr>
        <w:t xml:space="preserve">. </w:t>
      </w:r>
      <w:r>
        <w:rPr>
          <w:rFonts w:cs="Arial"/>
          <w:szCs w:val="20"/>
          <w:lang w:val="en-US"/>
        </w:rPr>
        <w:t xml:space="preserve">Socio-demographic, motivational, dwelling-related, economic and spatial variables that are found to be significant in the literature are selected and recoded into a suitable form (i.e. only numerical, binary and ordinal variables are usable in the </w:t>
      </w:r>
      <w:r w:rsidR="004F3320">
        <w:rPr>
          <w:rFonts w:cs="Arial"/>
          <w:szCs w:val="20"/>
          <w:lang w:val="en-US"/>
        </w:rPr>
        <w:t>FA</w:t>
      </w:r>
      <w:r>
        <w:rPr>
          <w:rFonts w:cs="Arial"/>
          <w:szCs w:val="20"/>
          <w:lang w:val="en-US"/>
        </w:rPr>
        <w:t>).</w:t>
      </w:r>
      <w:r w:rsidR="0066196F">
        <w:rPr>
          <w:rFonts w:cs="Arial"/>
          <w:szCs w:val="20"/>
          <w:lang w:val="en-US"/>
        </w:rPr>
        <w:t xml:space="preserve"> </w:t>
      </w:r>
      <w:r w:rsidR="004B21BB">
        <w:rPr>
          <w:rFonts w:cs="Arial"/>
          <w:szCs w:val="20"/>
          <w:lang w:val="en-US"/>
        </w:rPr>
        <w:t>The</w:t>
      </w:r>
      <w:r w:rsidR="008B410B">
        <w:rPr>
          <w:rFonts w:cs="Arial"/>
          <w:szCs w:val="20"/>
          <w:lang w:val="en-US"/>
        </w:rPr>
        <w:t>se</w:t>
      </w:r>
      <w:r w:rsidR="004B21BB">
        <w:rPr>
          <w:rFonts w:cs="Arial"/>
          <w:szCs w:val="20"/>
          <w:lang w:val="en-US"/>
        </w:rPr>
        <w:t xml:space="preserve"> variables are sh</w:t>
      </w:r>
      <w:r w:rsidR="004B21BB" w:rsidRPr="004B21BB">
        <w:rPr>
          <w:rFonts w:cs="Arial"/>
          <w:szCs w:val="20"/>
          <w:lang w:val="en-US"/>
        </w:rPr>
        <w:t xml:space="preserve">own in </w:t>
      </w:r>
      <w:r w:rsidR="004B21BB" w:rsidRPr="004B21BB">
        <w:rPr>
          <w:rFonts w:cs="Arial"/>
          <w:szCs w:val="20"/>
          <w:lang w:val="en-US"/>
        </w:rPr>
        <w:fldChar w:fldCharType="begin"/>
      </w:r>
      <w:r w:rsidR="004B21BB" w:rsidRPr="004B21BB">
        <w:rPr>
          <w:rFonts w:cs="Arial"/>
          <w:szCs w:val="20"/>
          <w:lang w:val="en-US"/>
        </w:rPr>
        <w:instrText xml:space="preserve"> REF _Ref119925252 \h </w:instrText>
      </w:r>
      <w:r w:rsidR="004B21BB">
        <w:rPr>
          <w:rFonts w:cs="Arial"/>
          <w:szCs w:val="20"/>
          <w:lang w:val="en-US"/>
        </w:rPr>
        <w:instrText xml:space="preserve"> \* MERGEFORMAT </w:instrText>
      </w:r>
      <w:r w:rsidR="004B21BB" w:rsidRPr="004B21BB">
        <w:rPr>
          <w:rFonts w:cs="Arial"/>
          <w:szCs w:val="20"/>
          <w:lang w:val="en-US"/>
        </w:rPr>
      </w:r>
      <w:r w:rsidR="004B21BB" w:rsidRPr="004B21BB">
        <w:rPr>
          <w:rFonts w:cs="Arial"/>
          <w:szCs w:val="20"/>
          <w:lang w:val="en-US"/>
        </w:rPr>
        <w:fldChar w:fldCharType="separate"/>
      </w:r>
      <w:r w:rsidR="004B21BB" w:rsidRPr="004B21BB">
        <w:rPr>
          <w:lang w:val="en-US"/>
        </w:rPr>
        <w:t>Table 1</w:t>
      </w:r>
      <w:r w:rsidR="004B21BB" w:rsidRPr="004B21BB">
        <w:rPr>
          <w:rFonts w:cs="Arial"/>
          <w:szCs w:val="20"/>
          <w:lang w:val="en-US"/>
        </w:rPr>
        <w:fldChar w:fldCharType="end"/>
      </w:r>
      <w:r w:rsidR="004B21BB" w:rsidRPr="004B21BB">
        <w:rPr>
          <w:rFonts w:cs="Arial"/>
          <w:szCs w:val="20"/>
          <w:lang w:val="en-US"/>
        </w:rPr>
        <w:t>.</w:t>
      </w:r>
    </w:p>
    <w:p w14:paraId="5EF647D5" w14:textId="54B86404" w:rsidR="004B21BB" w:rsidRDefault="004B21BB" w:rsidP="004B21BB">
      <w:pPr>
        <w:rPr>
          <w:rFonts w:cs="Arial"/>
          <w:szCs w:val="20"/>
          <w:lang w:val="en-US"/>
        </w:rPr>
      </w:pPr>
    </w:p>
    <w:p w14:paraId="292E95C4" w14:textId="2DB24C37" w:rsidR="004B21BB" w:rsidRPr="00982596" w:rsidRDefault="004B21BB" w:rsidP="004B21BB">
      <w:pPr>
        <w:rPr>
          <w:rFonts w:cs="Arial"/>
          <w:szCs w:val="20"/>
          <w:lang w:val="en-US"/>
        </w:rPr>
      </w:pPr>
      <w:r w:rsidRPr="00D94A5A">
        <w:rPr>
          <w:rFonts w:cs="Arial"/>
          <w:szCs w:val="20"/>
          <w:lang w:val="en-US"/>
        </w:rPr>
        <w:t>Factor analysis is a</w:t>
      </w:r>
      <w:r w:rsidR="008B410B">
        <w:rPr>
          <w:rFonts w:cs="Arial"/>
          <w:szCs w:val="20"/>
          <w:lang w:val="en-US"/>
        </w:rPr>
        <w:t xml:space="preserve"> statistical</w:t>
      </w:r>
      <w:r w:rsidRPr="00D94A5A">
        <w:rPr>
          <w:rFonts w:cs="Arial"/>
          <w:szCs w:val="20"/>
          <w:lang w:val="en-US"/>
        </w:rPr>
        <w:t xml:space="preserve"> dimension reduction technique originating from psychology</w:t>
      </w:r>
      <w:r w:rsidR="008B410B">
        <w:rPr>
          <w:rFonts w:cs="Arial"/>
          <w:szCs w:val="20"/>
          <w:lang w:val="en-US"/>
        </w:rPr>
        <w:t>, namely, p</w:t>
      </w:r>
      <w:r w:rsidRPr="00D94A5A">
        <w:rPr>
          <w:rFonts w:cs="Arial"/>
          <w:szCs w:val="20"/>
          <w:lang w:val="en-US"/>
        </w:rPr>
        <w:t xml:space="preserve">sychometrics. It assumes that multiple observed variables have similar patterns because they are associated with a latent, i.e. unobservable factor. </w:t>
      </w:r>
      <w:r>
        <w:rPr>
          <w:rFonts w:cs="Arial"/>
          <w:szCs w:val="20"/>
          <w:lang w:val="en-US"/>
        </w:rPr>
        <w:t xml:space="preserve">The factor model is represented as: </w:t>
      </w:r>
    </w:p>
    <w:p w14:paraId="026E1083" w14:textId="47CBC552" w:rsidR="004B21BB" w:rsidRPr="00982596" w:rsidRDefault="00E32B7F" w:rsidP="004B21BB">
      <w:pPr>
        <w:rPr>
          <w:rFonts w:cs="Arial"/>
          <w:szCs w:val="20"/>
          <w:lang w:val="en-US"/>
        </w:rPr>
      </w:pPr>
      <m:oMathPara>
        <m:oMath>
          <m:r>
            <w:rPr>
              <w:rFonts w:ascii="Cambria Math" w:hAnsi="Cambria Math" w:cs="Arial"/>
              <w:szCs w:val="20"/>
              <w:lang w:val="en-US"/>
            </w:rPr>
            <m:t>Y = μ + α</m:t>
          </m:r>
          <m:r>
            <m:rPr>
              <m:sty m:val="p"/>
            </m:rPr>
            <w:rPr>
              <w:rFonts w:ascii="Cambria Math" w:hAnsi="Cambria Math" w:cs="Arial"/>
              <w:szCs w:val="20"/>
              <w:lang w:val="en-US"/>
            </w:rPr>
            <m:t>Φ</m:t>
          </m:r>
          <m:r>
            <w:rPr>
              <w:rFonts w:ascii="Cambria Math" w:hAnsi="Cambria Math" w:cs="Arial"/>
              <w:szCs w:val="20"/>
              <w:lang w:val="en-US"/>
            </w:rPr>
            <m:t xml:space="preserve"> +ϵ</m:t>
          </m:r>
        </m:oMath>
      </m:oMathPara>
    </w:p>
    <w:p w14:paraId="2B93C4EB" w14:textId="2804FC3B" w:rsidR="004B21BB" w:rsidRDefault="004B21BB" w:rsidP="00227125">
      <w:pPr>
        <w:rPr>
          <w:rFonts w:cs="Arial"/>
          <w:szCs w:val="20"/>
          <w:lang w:val="en-US"/>
        </w:rPr>
      </w:pPr>
      <w:r w:rsidRPr="00982596">
        <w:rPr>
          <w:rFonts w:cs="Arial"/>
          <w:szCs w:val="20"/>
          <w:lang w:val="en-US"/>
        </w:rPr>
        <w:t xml:space="preserve">where </w:t>
      </w:r>
      <m:oMath>
        <m:r>
          <w:rPr>
            <w:rFonts w:ascii="Cambria Math" w:hAnsi="Cambria Math" w:cs="Arial"/>
            <w:szCs w:val="20"/>
            <w:lang w:val="en-US"/>
          </w:rPr>
          <m:t>Y=</m:t>
        </m:r>
        <m:sSup>
          <m:sSupPr>
            <m:ctrlPr>
              <w:rPr>
                <w:rFonts w:ascii="Cambria Math" w:hAnsi="Cambria Math" w:cs="Arial"/>
                <w:i/>
                <w:szCs w:val="20"/>
                <w:lang w:val="en-US"/>
              </w:rPr>
            </m:ctrlPr>
          </m:sSupPr>
          <m:e>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y</m:t>
                </m:r>
              </m:e>
              <m:sub>
                <m:r>
                  <w:rPr>
                    <w:rFonts w:ascii="Cambria Math" w:hAnsi="Cambria Math" w:cs="Arial"/>
                    <w:szCs w:val="20"/>
                    <w:lang w:val="en-US"/>
                  </w:rPr>
                  <m:t>1</m:t>
                </m:r>
              </m:sub>
            </m:sSub>
            <m:r>
              <w:rPr>
                <w:rFonts w:ascii="Cambria Math" w:hAnsi="Cambria Math" w:cs="Arial"/>
                <w:szCs w:val="20"/>
                <w:lang w:val="en-US"/>
              </w:rPr>
              <m:t xml:space="preserve">, </m:t>
            </m:r>
            <m:sSub>
              <m:sSubPr>
                <m:ctrlPr>
                  <w:rPr>
                    <w:rFonts w:ascii="Cambria Math" w:hAnsi="Cambria Math" w:cs="Arial"/>
                    <w:i/>
                    <w:szCs w:val="20"/>
                    <w:lang w:val="en-US"/>
                  </w:rPr>
                </m:ctrlPr>
              </m:sSubPr>
              <m:e>
                <m:r>
                  <w:rPr>
                    <w:rFonts w:ascii="Cambria Math" w:hAnsi="Cambria Math" w:cs="Arial"/>
                    <w:szCs w:val="20"/>
                    <w:lang w:val="en-US"/>
                  </w:rPr>
                  <m:t>y</m:t>
                </m:r>
              </m:e>
              <m:sub>
                <m:r>
                  <w:rPr>
                    <w:rFonts w:ascii="Cambria Math" w:hAnsi="Cambria Math" w:cs="Arial"/>
                    <w:szCs w:val="20"/>
                    <w:lang w:val="en-US"/>
                  </w:rPr>
                  <m:t>2</m:t>
                </m:r>
              </m:sub>
            </m:sSub>
            <m:r>
              <w:rPr>
                <w:rFonts w:ascii="Cambria Math" w:hAnsi="Cambria Math" w:cs="Arial"/>
                <w:szCs w:val="20"/>
                <w:lang w:val="en-US"/>
              </w:rPr>
              <m:t>, …</m:t>
            </m:r>
            <m:sSub>
              <m:sSubPr>
                <m:ctrlPr>
                  <w:rPr>
                    <w:rFonts w:ascii="Cambria Math" w:hAnsi="Cambria Math" w:cs="Arial"/>
                    <w:i/>
                    <w:szCs w:val="20"/>
                    <w:lang w:val="en-US"/>
                  </w:rPr>
                </m:ctrlPr>
              </m:sSubPr>
              <m:e>
                <m:r>
                  <w:rPr>
                    <w:rFonts w:ascii="Cambria Math" w:hAnsi="Cambria Math" w:cs="Arial"/>
                    <w:szCs w:val="20"/>
                    <w:lang w:val="en-US"/>
                  </w:rPr>
                  <m:t>y</m:t>
                </m:r>
              </m:e>
              <m:sub>
                <m:r>
                  <w:rPr>
                    <w:rFonts w:ascii="Cambria Math" w:hAnsi="Cambria Math" w:cs="Arial"/>
                    <w:szCs w:val="20"/>
                    <w:lang w:val="en-US"/>
                  </w:rPr>
                  <m:t>p</m:t>
                </m:r>
              </m:sub>
            </m:sSub>
            <m:r>
              <w:rPr>
                <w:rFonts w:ascii="Cambria Math" w:hAnsi="Cambria Math" w:cs="Arial"/>
                <w:szCs w:val="20"/>
                <w:lang w:val="en-US"/>
              </w:rPr>
              <m:t>)</m:t>
            </m:r>
          </m:e>
          <m:sup>
            <m:r>
              <w:rPr>
                <w:rFonts w:ascii="Cambria Math" w:hAnsi="Cambria Math" w:cs="Arial"/>
                <w:szCs w:val="20"/>
                <w:lang w:val="en-US"/>
              </w:rPr>
              <m:t>T</m:t>
            </m:r>
          </m:sup>
        </m:sSup>
        <m:r>
          <w:rPr>
            <w:rFonts w:ascii="Cambria Math" w:hAnsi="Cambria Math" w:cs="Arial"/>
            <w:szCs w:val="20"/>
            <w:lang w:val="en-US"/>
          </w:rPr>
          <m:t xml:space="preserve"> </m:t>
        </m:r>
      </m:oMath>
      <w:r w:rsidRPr="00982596">
        <w:rPr>
          <w:rFonts w:cs="Arial"/>
          <w:szCs w:val="20"/>
          <w:lang w:val="en-US"/>
        </w:rPr>
        <w:t xml:space="preserve">is </w:t>
      </w:r>
      <w:r w:rsidR="00E32B7F">
        <w:rPr>
          <w:rFonts w:cs="Arial"/>
          <w:szCs w:val="20"/>
          <w:lang w:val="en-US"/>
        </w:rPr>
        <w:t xml:space="preserve">a vector </w:t>
      </w:r>
      <w:r w:rsidRPr="00982596">
        <w:rPr>
          <w:rFonts w:cs="Arial"/>
          <w:szCs w:val="20"/>
          <w:lang w:val="en-US"/>
        </w:rPr>
        <w:t>of</w:t>
      </w:r>
      <w:r w:rsidR="00E32B7F">
        <w:rPr>
          <w:rFonts w:cs="Arial"/>
          <w:szCs w:val="20"/>
          <w:lang w:val="en-US"/>
        </w:rPr>
        <w:t xml:space="preserve"> observable random</w:t>
      </w:r>
      <w:r>
        <w:rPr>
          <w:rFonts w:cs="Arial"/>
          <w:szCs w:val="20"/>
          <w:lang w:val="en-US"/>
        </w:rPr>
        <w:t xml:space="preserve"> variables</w:t>
      </w:r>
      <w:r w:rsidRPr="00982596">
        <w:rPr>
          <w:rFonts w:cs="Arial"/>
          <w:szCs w:val="20"/>
          <w:lang w:val="en-US"/>
        </w:rPr>
        <w:t xml:space="preserve">, </w:t>
      </w:r>
      <m:oMath>
        <m:r>
          <w:rPr>
            <w:rFonts w:ascii="Cambria Math" w:hAnsi="Cambria Math" w:cs="Arial"/>
            <w:szCs w:val="20"/>
            <w:lang w:val="en-US"/>
          </w:rPr>
          <m:t>μ=(</m:t>
        </m:r>
        <m:sSub>
          <m:sSubPr>
            <m:ctrlPr>
              <w:rPr>
                <w:rFonts w:ascii="Cambria Math" w:hAnsi="Cambria Math" w:cs="Arial"/>
                <w:i/>
                <w:szCs w:val="20"/>
                <w:lang w:val="en-US"/>
              </w:rPr>
            </m:ctrlPr>
          </m:sSubPr>
          <m:e>
            <m:r>
              <w:rPr>
                <w:rFonts w:ascii="Cambria Math" w:hAnsi="Cambria Math" w:cs="Arial"/>
                <w:szCs w:val="20"/>
                <w:lang w:val="en-US"/>
              </w:rPr>
              <m:t>μ</m:t>
            </m:r>
          </m:e>
          <m:sub>
            <m:r>
              <w:rPr>
                <w:rFonts w:ascii="Cambria Math" w:hAnsi="Cambria Math" w:cs="Arial"/>
                <w:szCs w:val="20"/>
                <w:lang w:val="en-US"/>
              </w:rPr>
              <m:t>1</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μ</m:t>
            </m:r>
          </m:e>
          <m:sub>
            <m:r>
              <w:rPr>
                <w:rFonts w:ascii="Cambria Math" w:hAnsi="Cambria Math" w:cs="Arial"/>
                <w:szCs w:val="20"/>
                <w:lang w:val="en-US"/>
              </w:rPr>
              <m:t>2</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μ</m:t>
            </m:r>
          </m:e>
          <m:sub>
            <m:r>
              <w:rPr>
                <w:rFonts w:ascii="Cambria Math" w:hAnsi="Cambria Math" w:cs="Arial"/>
                <w:szCs w:val="20"/>
                <w:lang w:val="en-US"/>
              </w:rPr>
              <m:t>p</m:t>
            </m:r>
          </m:sub>
        </m:sSub>
        <m:r>
          <w:rPr>
            <w:rFonts w:ascii="Cambria Math" w:hAnsi="Cambria Math" w:cs="Arial"/>
            <w:szCs w:val="20"/>
            <w:lang w:val="en-US"/>
          </w:rPr>
          <m:t>)</m:t>
        </m:r>
      </m:oMath>
      <w:r w:rsidRPr="00982596">
        <w:rPr>
          <w:rFonts w:cs="Arial"/>
          <w:szCs w:val="20"/>
          <w:lang w:val="en-US"/>
        </w:rPr>
        <w:t xml:space="preserve"> is </w:t>
      </w:r>
      <w:r w:rsidR="00E32B7F">
        <w:rPr>
          <w:rFonts w:cs="Arial"/>
          <w:szCs w:val="20"/>
          <w:lang w:val="en-US"/>
        </w:rPr>
        <w:t xml:space="preserve">a </w:t>
      </w:r>
      <w:r w:rsidRPr="00982596">
        <w:rPr>
          <w:rFonts w:cs="Arial"/>
          <w:szCs w:val="20"/>
          <w:lang w:val="en-US"/>
        </w:rPr>
        <w:t xml:space="preserve">vector of means, </w:t>
      </w:r>
      <m:oMath>
        <m:r>
          <w:rPr>
            <w:rFonts w:ascii="Cambria Math" w:hAnsi="Cambria Math" w:cs="Arial"/>
            <w:szCs w:val="20"/>
            <w:lang w:val="en-US"/>
          </w:rPr>
          <m:t>α</m:t>
        </m:r>
      </m:oMath>
      <w:r w:rsidRPr="00982596">
        <w:rPr>
          <w:rFonts w:cs="Arial"/>
          <w:szCs w:val="20"/>
          <w:lang w:val="en-US"/>
        </w:rPr>
        <w:t xml:space="preserve"> is a p × m matrix of loadings,</w:t>
      </w:r>
      <w:r w:rsidR="00E32B7F">
        <w:rPr>
          <w:rFonts w:cs="Arial"/>
          <w:szCs w:val="20"/>
          <w:lang w:val="en-US"/>
        </w:rPr>
        <w:t xml:space="preserve"> </w:t>
      </w:r>
      <m:oMath>
        <m:r>
          <m:rPr>
            <m:sty m:val="p"/>
          </m:rPr>
          <w:rPr>
            <w:rFonts w:ascii="Cambria Math" w:hAnsi="Cambria Math" w:cs="Arial"/>
            <w:szCs w:val="20"/>
            <w:lang w:val="en-US"/>
          </w:rPr>
          <m:t>Φ=</m:t>
        </m:r>
        <m:sSup>
          <m:sSupPr>
            <m:ctrlPr>
              <w:rPr>
                <w:rFonts w:ascii="Cambria Math" w:hAnsi="Cambria Math" w:cs="Arial"/>
                <w:szCs w:val="20"/>
                <w:lang w:val="en-US"/>
              </w:rPr>
            </m:ctrlPr>
          </m:sSupPr>
          <m:e>
            <m:r>
              <m:rPr>
                <m:sty m:val="p"/>
              </m:rPr>
              <w:rPr>
                <w:rFonts w:ascii="Cambria Math" w:hAnsi="Cambria Math" w:cs="Arial"/>
                <w:szCs w:val="20"/>
                <w:lang w:val="en-US"/>
              </w:rPr>
              <m:t>(</m:t>
            </m:r>
            <m:sSub>
              <m:sSubPr>
                <m:ctrlPr>
                  <w:rPr>
                    <w:rFonts w:ascii="Cambria Math" w:hAnsi="Cambria Math" w:cs="Arial"/>
                    <w:szCs w:val="20"/>
                    <w:lang w:val="en-US"/>
                  </w:rPr>
                </m:ctrlPr>
              </m:sSubPr>
              <m:e>
                <m:r>
                  <m:rPr>
                    <m:sty m:val="p"/>
                  </m:rPr>
                  <w:rPr>
                    <w:rFonts w:ascii="Cambria Math" w:hAnsi="Cambria Math" w:cs="Arial"/>
                    <w:szCs w:val="20"/>
                    <w:lang w:val="en-US"/>
                  </w:rPr>
                  <m:t>ϕ</m:t>
                </m:r>
              </m:e>
              <m:sub>
                <m:r>
                  <w:rPr>
                    <w:rFonts w:ascii="Cambria Math" w:hAnsi="Cambria Math" w:cs="Arial"/>
                    <w:szCs w:val="20"/>
                    <w:lang w:val="en-US"/>
                  </w:rPr>
                  <m:t>1</m:t>
                </m:r>
              </m:sub>
            </m:sSub>
            <m:r>
              <m:rPr>
                <m:sty m:val="p"/>
              </m:rPr>
              <w:rPr>
                <w:rFonts w:ascii="Cambria Math" w:hAnsi="Cambria Math" w:cs="Arial"/>
                <w:szCs w:val="20"/>
                <w:lang w:val="en-US"/>
              </w:rPr>
              <m:t>,</m:t>
            </m:r>
            <m:sSub>
              <m:sSubPr>
                <m:ctrlPr>
                  <w:rPr>
                    <w:rFonts w:ascii="Cambria Math" w:hAnsi="Cambria Math" w:cs="Arial"/>
                    <w:szCs w:val="20"/>
                    <w:lang w:val="en-US"/>
                  </w:rPr>
                </m:ctrlPr>
              </m:sSubPr>
              <m:e>
                <m:r>
                  <m:rPr>
                    <m:sty m:val="p"/>
                  </m:rPr>
                  <w:rPr>
                    <w:rFonts w:ascii="Cambria Math" w:hAnsi="Cambria Math" w:cs="Arial"/>
                    <w:szCs w:val="20"/>
                    <w:lang w:val="en-US"/>
                  </w:rPr>
                  <m:t>ϕ</m:t>
                </m:r>
              </m:e>
              <m:sub>
                <m:r>
                  <w:rPr>
                    <w:rFonts w:ascii="Cambria Math" w:hAnsi="Cambria Math" w:cs="Arial"/>
                    <w:szCs w:val="20"/>
                    <w:lang w:val="en-US"/>
                  </w:rPr>
                  <m:t>2</m:t>
                </m:r>
              </m:sub>
            </m:sSub>
            <m:r>
              <m:rPr>
                <m:sty m:val="p"/>
              </m:rPr>
              <w:rPr>
                <w:rFonts w:ascii="Cambria Math" w:hAnsi="Cambria Math" w:cs="Arial"/>
                <w:szCs w:val="20"/>
                <w:lang w:val="en-US"/>
              </w:rPr>
              <m:t>, …</m:t>
            </m:r>
            <m:sSub>
              <m:sSubPr>
                <m:ctrlPr>
                  <w:rPr>
                    <w:rFonts w:ascii="Cambria Math" w:hAnsi="Cambria Math" w:cs="Arial"/>
                    <w:szCs w:val="20"/>
                    <w:lang w:val="en-US"/>
                  </w:rPr>
                </m:ctrlPr>
              </m:sSubPr>
              <m:e>
                <m:r>
                  <m:rPr>
                    <m:sty m:val="p"/>
                  </m:rPr>
                  <w:rPr>
                    <w:rFonts w:ascii="Cambria Math" w:hAnsi="Cambria Math" w:cs="Arial"/>
                    <w:szCs w:val="20"/>
                    <w:lang w:val="en-US"/>
                  </w:rPr>
                  <m:t>ϕ</m:t>
                </m:r>
              </m:e>
              <m:sub>
                <m:r>
                  <w:rPr>
                    <w:rFonts w:ascii="Cambria Math" w:hAnsi="Cambria Math" w:cs="Arial"/>
                    <w:szCs w:val="20"/>
                    <w:lang w:val="en-US"/>
                  </w:rPr>
                  <m:t>m</m:t>
                </m:r>
              </m:sub>
            </m:sSub>
            <m:r>
              <m:rPr>
                <m:sty m:val="p"/>
              </m:rPr>
              <w:rPr>
                <w:rFonts w:ascii="Cambria Math" w:hAnsi="Cambria Math" w:cs="Arial"/>
                <w:szCs w:val="20"/>
                <w:lang w:val="en-US"/>
              </w:rPr>
              <m:t>)</m:t>
            </m:r>
          </m:e>
          <m:sup>
            <m:r>
              <w:rPr>
                <w:rFonts w:ascii="Cambria Math" w:hAnsi="Cambria Math" w:cs="Arial"/>
                <w:szCs w:val="20"/>
                <w:lang w:val="en-US"/>
              </w:rPr>
              <m:t>T</m:t>
            </m:r>
          </m:sup>
        </m:sSup>
      </m:oMath>
      <w:r w:rsidR="00E32B7F" w:rsidRPr="00982596">
        <w:rPr>
          <w:rFonts w:cs="Arial"/>
          <w:szCs w:val="20"/>
          <w:lang w:val="en-US"/>
        </w:rPr>
        <w:t xml:space="preserve"> is a vector of common factors</w:t>
      </w:r>
      <w:r w:rsidRPr="00982596">
        <w:rPr>
          <w:rFonts w:cs="Arial"/>
          <w:szCs w:val="20"/>
          <w:lang w:val="en-US"/>
        </w:rPr>
        <w:t xml:space="preserve"> and </w:t>
      </w:r>
      <m:oMath>
        <m:r>
          <w:rPr>
            <w:rFonts w:ascii="Cambria Math" w:hAnsi="Cambria Math" w:cs="Arial"/>
            <w:szCs w:val="20"/>
            <w:lang w:val="en-US"/>
          </w:rPr>
          <m:t>ϵ=</m:t>
        </m:r>
        <m:sSup>
          <m:sSupPr>
            <m:ctrlPr>
              <w:rPr>
                <w:rFonts w:ascii="Cambria Math" w:hAnsi="Cambria Math" w:cs="Arial"/>
                <w:i/>
                <w:szCs w:val="20"/>
                <w:lang w:val="en-US"/>
              </w:rPr>
            </m:ctrlPr>
          </m:sSupPr>
          <m:e>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ϵ</m:t>
                </m:r>
              </m:e>
              <m:sub>
                <m:r>
                  <w:rPr>
                    <w:rFonts w:ascii="Cambria Math" w:hAnsi="Cambria Math" w:cs="Arial"/>
                    <w:szCs w:val="20"/>
                    <w:lang w:val="en-US"/>
                  </w:rPr>
                  <m:t>1</m:t>
                </m:r>
              </m:sub>
            </m:sSub>
            <m:r>
              <w:rPr>
                <w:rFonts w:ascii="Cambria Math" w:hAnsi="Cambria Math" w:cs="Arial"/>
                <w:szCs w:val="20"/>
                <w:lang w:val="en-US"/>
              </w:rPr>
              <m:t xml:space="preserve">, </m:t>
            </m:r>
            <m:sSub>
              <m:sSubPr>
                <m:ctrlPr>
                  <w:rPr>
                    <w:rFonts w:ascii="Cambria Math" w:hAnsi="Cambria Math" w:cs="Arial"/>
                    <w:i/>
                    <w:szCs w:val="20"/>
                    <w:lang w:val="en-US"/>
                  </w:rPr>
                </m:ctrlPr>
              </m:sSubPr>
              <m:e>
                <m:r>
                  <w:rPr>
                    <w:rFonts w:ascii="Cambria Math" w:hAnsi="Cambria Math" w:cs="Arial"/>
                    <w:szCs w:val="20"/>
                    <w:lang w:val="en-US"/>
                  </w:rPr>
                  <m:t>ϵ</m:t>
                </m:r>
              </m:e>
              <m:sub>
                <m:r>
                  <w:rPr>
                    <w:rFonts w:ascii="Cambria Math" w:hAnsi="Cambria Math" w:cs="Arial"/>
                    <w:szCs w:val="20"/>
                    <w:lang w:val="en-US"/>
                  </w:rPr>
                  <m:t>2</m:t>
                </m:r>
              </m:sub>
            </m:sSub>
            <m:r>
              <w:rPr>
                <w:rFonts w:ascii="Cambria Math" w:hAnsi="Cambria Math" w:cs="Arial"/>
                <w:szCs w:val="20"/>
                <w:lang w:val="en-US"/>
              </w:rPr>
              <m:t>, …</m:t>
            </m:r>
            <m:sSub>
              <m:sSubPr>
                <m:ctrlPr>
                  <w:rPr>
                    <w:rFonts w:ascii="Cambria Math" w:hAnsi="Cambria Math" w:cs="Arial"/>
                    <w:i/>
                    <w:szCs w:val="20"/>
                    <w:lang w:val="en-US"/>
                  </w:rPr>
                </m:ctrlPr>
              </m:sSubPr>
              <m:e>
                <m:r>
                  <w:rPr>
                    <w:rFonts w:ascii="Cambria Math" w:hAnsi="Cambria Math" w:cs="Arial"/>
                    <w:szCs w:val="20"/>
                    <w:lang w:val="en-US"/>
                  </w:rPr>
                  <m:t>ϵ</m:t>
                </m:r>
              </m:e>
              <m:sub>
                <m:r>
                  <w:rPr>
                    <w:rFonts w:ascii="Cambria Math" w:hAnsi="Cambria Math" w:cs="Arial"/>
                    <w:szCs w:val="20"/>
                    <w:lang w:val="en-US"/>
                  </w:rPr>
                  <m:t>p</m:t>
                </m:r>
              </m:sub>
            </m:sSub>
            <m:r>
              <w:rPr>
                <w:rFonts w:ascii="Cambria Math" w:hAnsi="Cambria Math" w:cs="Arial"/>
                <w:szCs w:val="20"/>
                <w:lang w:val="en-US"/>
              </w:rPr>
              <m:t>)</m:t>
            </m:r>
          </m:e>
          <m:sup>
            <m:r>
              <w:rPr>
                <w:rFonts w:ascii="Cambria Math" w:hAnsi="Cambria Math" w:cs="Arial"/>
                <w:szCs w:val="20"/>
                <w:lang w:val="en-US"/>
              </w:rPr>
              <m:t>T</m:t>
            </m:r>
          </m:sup>
        </m:sSup>
      </m:oMath>
      <w:r w:rsidRPr="00982596">
        <w:rPr>
          <w:rFonts w:cs="Arial"/>
          <w:szCs w:val="20"/>
          <w:lang w:val="en-US"/>
        </w:rPr>
        <w:t xml:space="preserve"> </w:t>
      </w:r>
      <w:r w:rsidR="00E32B7F">
        <w:rPr>
          <w:rFonts w:cs="Arial"/>
          <w:szCs w:val="20"/>
          <w:lang w:val="en-US"/>
        </w:rPr>
        <w:t xml:space="preserve">is a </w:t>
      </w:r>
      <w:r w:rsidRPr="00982596">
        <w:rPr>
          <w:rFonts w:cs="Arial"/>
          <w:szCs w:val="20"/>
          <w:lang w:val="en-US"/>
        </w:rPr>
        <w:t>vector of residual</w:t>
      </w:r>
      <w:r w:rsidR="00E32B7F">
        <w:rPr>
          <w:rFonts w:cs="Arial"/>
          <w:szCs w:val="20"/>
          <w:lang w:val="en-US"/>
        </w:rPr>
        <w:t xml:space="preserve"> random errors</w:t>
      </w:r>
      <w:r w:rsidR="00EC6BC9">
        <w:rPr>
          <w:rFonts w:cs="Arial"/>
          <w:szCs w:val="20"/>
          <w:lang w:val="en-US"/>
        </w:rPr>
        <w:t xml:space="preserve"> </w:t>
      </w:r>
      <w:r w:rsidR="00EC6BC9">
        <w:rPr>
          <w:rFonts w:cs="Arial"/>
          <w:szCs w:val="20"/>
          <w:lang w:val="en-US"/>
        </w:rPr>
        <w:fldChar w:fldCharType="begin" w:fldLock="1"/>
      </w:r>
      <w:r w:rsidR="009F3B64">
        <w:rPr>
          <w:rFonts w:cs="Arial"/>
          <w:szCs w:val="20"/>
          <w:lang w:val="en-US"/>
        </w:rPr>
        <w:instrText>ADDIN CSL_CITATION {"citationItems":[{"id":"ITEM-1","itemData":{"ISBN":"0471570826","author":[{"dropping-particle":"","family":"Basilevsky","given":"Alexander","non-dropping-particle":"","parse-names":false,"suffix":""}],"id":"ITEM-1","issued":{"date-parts":[["1994"]]},"publisher":"John Wiley &amp; Sons, Inc.","publisher-place":"Winnipeg, Manitoba","title":"Statistical Factor Analysis and Related Methods","type":"book"},"uris":["http://www.mendeley.com/documents/?uuid=9a4a9e00-7ae9-419e-a90b-f8d5336d2f76"]}],"mendeley":{"formattedCitation":"[4]","plainTextFormattedCitation":"[4]","previouslyFormattedCitation":"[4]"},"properties":{"noteIndex":0},"schema":"https://github.com/citation-style-language/schema/raw/master/csl-citation.json"}</w:instrText>
      </w:r>
      <w:r w:rsidR="00EC6BC9">
        <w:rPr>
          <w:rFonts w:cs="Arial"/>
          <w:szCs w:val="20"/>
          <w:lang w:val="en-US"/>
        </w:rPr>
        <w:fldChar w:fldCharType="separate"/>
      </w:r>
      <w:r w:rsidR="00EC6BC9" w:rsidRPr="00EC6BC9">
        <w:rPr>
          <w:rFonts w:cs="Arial"/>
          <w:noProof/>
          <w:szCs w:val="20"/>
          <w:lang w:val="en-US"/>
        </w:rPr>
        <w:t>[4]</w:t>
      </w:r>
      <w:r w:rsidR="00EC6BC9">
        <w:rPr>
          <w:rFonts w:cs="Arial"/>
          <w:szCs w:val="20"/>
          <w:lang w:val="en-US"/>
        </w:rPr>
        <w:fldChar w:fldCharType="end"/>
      </w:r>
      <w:r w:rsidRPr="00982596">
        <w:rPr>
          <w:rFonts w:cs="Arial"/>
          <w:szCs w:val="20"/>
          <w:lang w:val="en-US"/>
        </w:rPr>
        <w:t xml:space="preserve">. Here, </w:t>
      </w:r>
      <m:oMath>
        <m:r>
          <w:rPr>
            <w:rFonts w:ascii="Cambria Math" w:hAnsi="Cambria Math" w:cs="Arial"/>
            <w:szCs w:val="20"/>
            <w:lang w:val="en-US"/>
          </w:rPr>
          <m:t>p</m:t>
        </m:r>
      </m:oMath>
      <w:r w:rsidRPr="00982596">
        <w:rPr>
          <w:rFonts w:cs="Arial"/>
          <w:szCs w:val="20"/>
          <w:lang w:val="en-US"/>
        </w:rPr>
        <w:t xml:space="preserve"> represents the number of </w:t>
      </w:r>
      <w:r w:rsidR="00AA2938">
        <w:rPr>
          <w:rFonts w:cs="Arial"/>
          <w:szCs w:val="20"/>
          <w:lang w:val="en-US"/>
        </w:rPr>
        <w:t xml:space="preserve">variables </w:t>
      </w:r>
      <w:r w:rsidRPr="00982596">
        <w:rPr>
          <w:rFonts w:cs="Arial"/>
          <w:szCs w:val="20"/>
          <w:lang w:val="en-US"/>
        </w:rPr>
        <w:t xml:space="preserve">and </w:t>
      </w:r>
      <w:r w:rsidRPr="00321B37">
        <w:rPr>
          <w:rFonts w:ascii="Cambria Math" w:hAnsi="Cambria Math" w:cs="Arial"/>
          <w:i/>
          <w:szCs w:val="20"/>
          <w:lang w:val="en-US"/>
        </w:rPr>
        <w:t>m</w:t>
      </w:r>
      <w:r w:rsidRPr="00982596">
        <w:rPr>
          <w:rFonts w:cs="Arial"/>
          <w:szCs w:val="20"/>
          <w:lang w:val="en-US"/>
        </w:rPr>
        <w:t xml:space="preserve"> represents the number of common factors</w:t>
      </w:r>
      <w:r>
        <w:rPr>
          <w:rFonts w:cs="Arial"/>
          <w:szCs w:val="20"/>
          <w:lang w:val="en-US"/>
        </w:rPr>
        <w:t xml:space="preserve">. </w:t>
      </w:r>
      <w:r w:rsidR="00E63AA7">
        <w:rPr>
          <w:rFonts w:cs="Arial"/>
          <w:szCs w:val="20"/>
          <w:lang w:val="en-US"/>
        </w:rPr>
        <w:t xml:space="preserve">By calculating the covariance matrix for these variables and running the factor analysis in R using the psych package </w:t>
      </w:r>
      <w:r w:rsidR="00E63AA7">
        <w:rPr>
          <w:rFonts w:cs="Arial"/>
          <w:szCs w:val="20"/>
          <w:lang w:val="en-US"/>
        </w:rPr>
        <w:fldChar w:fldCharType="begin" w:fldLock="1"/>
      </w:r>
      <w:r w:rsidR="009F3B64">
        <w:rPr>
          <w:rFonts w:cs="Arial"/>
          <w:szCs w:val="20"/>
          <w:lang w:val="en-US"/>
        </w:rPr>
        <w:instrText>ADDIN CSL_CITATION {"citationItems":[{"id":"ITEM-1","itemData":{"author":[{"dropping-particle":"","family":"Revelle","given":"William","non-dropping-particle":"","parse-names":false,"suffix":""}],"id":"ITEM-1","issued":{"date-parts":[["2022"]]},"publisher-place":"Northwestern University, Evanston, Illinois","title":"psych: Procedures for Psychological, Psychometric, and Personality Research. R package version 2.2.9, https://CRAN.R-project.org/package=psych.","type":"article"},"uris":["http://www.mendeley.com/documents/?uuid=8bd6e815-ecb3-452e-886d-7d3b9a243334"]}],"mendeley":{"formattedCitation":"[5]","plainTextFormattedCitation":"[5]","previouslyFormattedCitation":"[5]"},"properties":{"noteIndex":0},"schema":"https://github.com/citation-style-language/schema/raw/master/csl-citation.json"}</w:instrText>
      </w:r>
      <w:r w:rsidR="00E63AA7">
        <w:rPr>
          <w:rFonts w:cs="Arial"/>
          <w:szCs w:val="20"/>
          <w:lang w:val="en-US"/>
        </w:rPr>
        <w:fldChar w:fldCharType="separate"/>
      </w:r>
      <w:r w:rsidR="00EC6BC9" w:rsidRPr="00EC6BC9">
        <w:rPr>
          <w:rFonts w:cs="Arial"/>
          <w:noProof/>
          <w:szCs w:val="20"/>
          <w:lang w:val="en-US"/>
        </w:rPr>
        <w:t>[5]</w:t>
      </w:r>
      <w:r w:rsidR="00E63AA7">
        <w:rPr>
          <w:rFonts w:cs="Arial"/>
          <w:szCs w:val="20"/>
          <w:lang w:val="en-US"/>
        </w:rPr>
        <w:fldChar w:fldCharType="end"/>
      </w:r>
      <w:r w:rsidR="00E63AA7">
        <w:rPr>
          <w:rFonts w:cs="Arial"/>
          <w:szCs w:val="20"/>
          <w:lang w:val="en-US"/>
        </w:rPr>
        <w:t>, we interpret the factor loadings (</w:t>
      </w:r>
      <m:oMath>
        <m:r>
          <w:rPr>
            <w:rFonts w:ascii="Cambria Math" w:hAnsi="Cambria Math" w:cs="Arial"/>
            <w:szCs w:val="20"/>
            <w:lang w:val="en-US"/>
          </w:rPr>
          <m:t>α</m:t>
        </m:r>
      </m:oMath>
      <w:r w:rsidR="00E63AA7">
        <w:rPr>
          <w:rFonts w:cs="Arial"/>
          <w:szCs w:val="20"/>
          <w:lang w:val="en-US"/>
        </w:rPr>
        <w:t xml:space="preserve">) and observe which variables are correlated </w:t>
      </w:r>
      <w:r w:rsidR="00AA2938">
        <w:rPr>
          <w:rFonts w:cs="Arial"/>
          <w:szCs w:val="20"/>
          <w:lang w:val="en-US"/>
        </w:rPr>
        <w:t>with latent factors</w:t>
      </w:r>
      <w:r w:rsidR="00E63AA7">
        <w:rPr>
          <w:rFonts w:cs="Arial"/>
          <w:szCs w:val="20"/>
          <w:lang w:val="en-US"/>
        </w:rPr>
        <w:t xml:space="preserve">. </w:t>
      </w:r>
      <w:r>
        <w:rPr>
          <w:rFonts w:cs="Arial"/>
          <w:szCs w:val="20"/>
          <w:lang w:val="en-US"/>
        </w:rPr>
        <w:t xml:space="preserve"> </w:t>
      </w:r>
    </w:p>
    <w:p w14:paraId="14B95358" w14:textId="5A9A870E" w:rsidR="005E4D4F" w:rsidRDefault="00D94A5A" w:rsidP="005E4D4F">
      <w:pPr>
        <w:pStyle w:val="Ueberschrift"/>
        <w:rPr>
          <w:lang w:val="en-US"/>
        </w:rPr>
      </w:pPr>
      <w:r>
        <w:rPr>
          <w:lang w:val="en-US"/>
        </w:rPr>
        <w:t>Results and Discussion</w:t>
      </w:r>
    </w:p>
    <w:p w14:paraId="5D873026" w14:textId="1841D8C0" w:rsidR="001375F7" w:rsidRDefault="004B21BB" w:rsidP="00E63AA7">
      <w:pPr>
        <w:rPr>
          <w:lang w:val="en-US"/>
        </w:rPr>
      </w:pPr>
      <w:r>
        <w:rPr>
          <w:rFonts w:cs="Arial"/>
          <w:szCs w:val="20"/>
          <w:lang w:val="en-US"/>
        </w:rPr>
        <w:t xml:space="preserve">First of all, </w:t>
      </w:r>
      <w:r>
        <w:rPr>
          <w:lang w:val="en-US"/>
        </w:rPr>
        <w:t>s</w:t>
      </w:r>
      <w:r w:rsidRPr="004F3320">
        <w:rPr>
          <w:lang w:val="en-US"/>
        </w:rPr>
        <w:t>uitability of</w:t>
      </w:r>
      <w:r>
        <w:rPr>
          <w:lang w:val="en-US"/>
        </w:rPr>
        <w:t xml:space="preserve"> FA for the given dataset is defined using a standard </w:t>
      </w:r>
      <w:r w:rsidRPr="004F3320">
        <w:rPr>
          <w:lang w:val="en-US"/>
        </w:rPr>
        <w:t>Kaiser-Meyer-Olkin factor adequacy</w:t>
      </w:r>
      <w:r>
        <w:rPr>
          <w:lang w:val="en-US"/>
        </w:rPr>
        <w:t xml:space="preserve"> test</w:t>
      </w:r>
      <w:r w:rsidR="001375F7">
        <w:rPr>
          <w:lang w:val="en-US"/>
        </w:rPr>
        <w:t xml:space="preserve"> </w:t>
      </w:r>
      <w:r w:rsidR="001375F7">
        <w:rPr>
          <w:lang w:val="en-US"/>
        </w:rPr>
        <w:fldChar w:fldCharType="begin" w:fldLock="1"/>
      </w:r>
      <w:r w:rsidR="009F3B64">
        <w:rPr>
          <w:lang w:val="en-US"/>
        </w:rPr>
        <w:instrText>ADDIN CSL_CITATION {"citationItems":[{"id":"ITEM-1","itemData":{"author":[{"dropping-particle":"","family":"Kaiser","given":"H. F.","non-dropping-particle":"","parse-names":false,"suffix":""}],"container-title":"Psychometrika","id":"ITEM-1","issued":{"date-parts":[["1974"]]},"page":"31–36","title":"An index of factorial simplicity","type":"article-journal","volume":"39"},"uris":["http://www.mendeley.com/documents/?uuid=72abdbfc-f39b-416a-a712-21a98a4794e3"]}],"mendeley":{"formattedCitation":"[6]","plainTextFormattedCitation":"[6]","previouslyFormattedCitation":"[6]"},"properties":{"noteIndex":0},"schema":"https://github.com/citation-style-language/schema/raw/master/csl-citation.json"}</w:instrText>
      </w:r>
      <w:r w:rsidR="001375F7">
        <w:rPr>
          <w:lang w:val="en-US"/>
        </w:rPr>
        <w:fldChar w:fldCharType="separate"/>
      </w:r>
      <w:r w:rsidR="00EC6BC9" w:rsidRPr="00EC6BC9">
        <w:rPr>
          <w:noProof/>
          <w:lang w:val="en-US"/>
        </w:rPr>
        <w:t>[6]</w:t>
      </w:r>
      <w:r w:rsidR="001375F7">
        <w:rPr>
          <w:lang w:val="en-US"/>
        </w:rPr>
        <w:fldChar w:fldCharType="end"/>
      </w:r>
      <w:r>
        <w:rPr>
          <w:lang w:val="en-US"/>
        </w:rPr>
        <w:t xml:space="preserve">. </w:t>
      </w:r>
      <w:r w:rsidR="00E63AA7">
        <w:rPr>
          <w:lang w:val="en-US"/>
        </w:rPr>
        <w:t>T</w:t>
      </w:r>
      <w:r w:rsidR="004F3320">
        <w:rPr>
          <w:lang w:val="en-US"/>
        </w:rPr>
        <w:t xml:space="preserve">he overall </w:t>
      </w:r>
      <w:r w:rsidR="001375F7">
        <w:rPr>
          <w:lang w:val="en-US"/>
        </w:rPr>
        <w:t>measure of sampling adequacy (MSA) for the given dataset is</w:t>
      </w:r>
      <w:r w:rsidR="004F3320">
        <w:rPr>
          <w:lang w:val="en-US"/>
        </w:rPr>
        <w:t xml:space="preserve"> 0.73. </w:t>
      </w:r>
      <w:r w:rsidR="004F3320" w:rsidRPr="004F3320">
        <w:rPr>
          <w:lang w:val="en-US"/>
        </w:rPr>
        <w:t xml:space="preserve">According </w:t>
      </w:r>
      <w:r w:rsidR="001375F7">
        <w:rPr>
          <w:lang w:val="en-US"/>
        </w:rPr>
        <w:t xml:space="preserve">to </w:t>
      </w:r>
      <w:r w:rsidR="001375F7">
        <w:rPr>
          <w:lang w:val="en-US"/>
        </w:rPr>
        <w:fldChar w:fldCharType="begin" w:fldLock="1"/>
      </w:r>
      <w:r w:rsidR="009F3B64">
        <w:rPr>
          <w:lang w:val="en-US"/>
        </w:rPr>
        <w:instrText>ADDIN CSL_CITATION {"citationItems":[{"id":"ITEM-1","itemData":{"author":[{"dropping-particle":"","family":"Kaiser","given":"H. F.","non-dropping-particle":"","parse-names":false,"suffix":""}],"container-title":"Psychometrika","id":"ITEM-1","issued":{"date-parts":[["1974"]]},"page":"31–36","title":"An index of factorial simplicity","type":"article-journal","volume":"39"},"uris":["http://www.mendeley.com/documents/?uuid=72abdbfc-f39b-416a-a712-21a98a4794e3"]}],"mendeley":{"formattedCitation":"[6]","plainTextFormattedCitation":"[6]","previouslyFormattedCitation":"[6]"},"properties":{"noteIndex":0},"schema":"https://github.com/citation-style-language/schema/raw/master/csl-citation.json"}</w:instrText>
      </w:r>
      <w:r w:rsidR="001375F7">
        <w:rPr>
          <w:lang w:val="en-US"/>
        </w:rPr>
        <w:fldChar w:fldCharType="separate"/>
      </w:r>
      <w:r w:rsidR="00EC6BC9" w:rsidRPr="00EC6BC9">
        <w:rPr>
          <w:noProof/>
          <w:lang w:val="en-US"/>
        </w:rPr>
        <w:t>[6]</w:t>
      </w:r>
      <w:r w:rsidR="001375F7">
        <w:rPr>
          <w:lang w:val="en-US"/>
        </w:rPr>
        <w:fldChar w:fldCharType="end"/>
      </w:r>
      <w:r w:rsidR="001375F7">
        <w:rPr>
          <w:lang w:val="en-US"/>
        </w:rPr>
        <w:t>,</w:t>
      </w:r>
      <w:r w:rsidR="004F3320" w:rsidRPr="004F3320">
        <w:rPr>
          <w:lang w:val="en-US"/>
        </w:rPr>
        <w:t xml:space="preserve"> values higher than 0.5 indicate that</w:t>
      </w:r>
      <w:r w:rsidR="004F3320">
        <w:rPr>
          <w:lang w:val="en-US"/>
        </w:rPr>
        <w:t xml:space="preserve"> it is reasonable to use FA for the given dataset.</w:t>
      </w:r>
    </w:p>
    <w:p w14:paraId="48A1528A" w14:textId="7318BACA" w:rsidR="00813DA8" w:rsidRPr="009F3B64" w:rsidRDefault="004F3320" w:rsidP="00813DA8">
      <w:pPr>
        <w:rPr>
          <w:b/>
          <w:lang w:val="en-US"/>
        </w:rPr>
      </w:pPr>
      <w:r>
        <w:rPr>
          <w:lang w:val="en-US"/>
        </w:rPr>
        <w:t>An</w:t>
      </w:r>
      <w:r w:rsidR="00E63AA7">
        <w:rPr>
          <w:lang w:val="en-US"/>
        </w:rPr>
        <w:t>other</w:t>
      </w:r>
      <w:r>
        <w:rPr>
          <w:lang w:val="en-US"/>
        </w:rPr>
        <w:t xml:space="preserve"> important step is determining the</w:t>
      </w:r>
      <w:r w:rsidR="00BB66AF">
        <w:rPr>
          <w:lang w:val="en-US"/>
        </w:rPr>
        <w:t xml:space="preserve"> optimal</w:t>
      </w:r>
      <w:r>
        <w:rPr>
          <w:lang w:val="en-US"/>
        </w:rPr>
        <w:t xml:space="preserve"> number of factors to be extracted</w:t>
      </w:r>
      <w:r w:rsidR="001375F7">
        <w:rPr>
          <w:lang w:val="en-US"/>
        </w:rPr>
        <w:t>.</w:t>
      </w:r>
      <w:r w:rsidR="006016EA">
        <w:rPr>
          <w:lang w:val="en-US"/>
        </w:rPr>
        <w:t xml:space="preserve"> </w:t>
      </w:r>
      <w:r>
        <w:rPr>
          <w:lang w:val="en-US"/>
        </w:rPr>
        <w:t xml:space="preserve">The </w:t>
      </w:r>
      <w:r w:rsidR="00A76CF2">
        <w:rPr>
          <w:lang w:val="en-US"/>
        </w:rPr>
        <w:t xml:space="preserve">parallel analysis </w:t>
      </w:r>
      <w:r w:rsidR="001375F7">
        <w:rPr>
          <w:lang w:val="en-US"/>
        </w:rPr>
        <w:t xml:space="preserve">does that by comparing the eigenvalues of the observed data to those of the random correlation matrices (i.e. generated via Monte Carlo simulation) </w:t>
      </w:r>
      <w:r w:rsidR="001375F7">
        <w:rPr>
          <w:lang w:val="en-US"/>
        </w:rPr>
        <w:fldChar w:fldCharType="begin" w:fldLock="1"/>
      </w:r>
      <w:r w:rsidR="009F3B64">
        <w:rPr>
          <w:lang w:val="en-US"/>
        </w:rPr>
        <w:instrText>ADDIN CSL_CITATION {"citationItems":[{"id":"ITEM-1","itemData":{"DOI":"10.1007/BF02289447","ISSN":"1860-0980","PMID":"14306381","abstract":"It is suggested that if Guttman's latent-root-one lower bound estimate for the rank of a correlation matrix is accepted as a psychometric upper bound, following the proofs and arguments of Kaiser and Dickman, then the rank for a sample matrix should be estimated by subtracting out the component in the latent roots which can be attributed to sampling error, and least-squares “capitalization” on this error, in the calculation of the correlations and the roots. A procedure based on the generation of random variables is given for estimating the component which needs to be subtracted.","author":[{"dropping-particle":"","family":"Horn","given":"John L.","non-dropping-particle":"","parse-names":false,"suffix":""}],"container-title":"Psychometrika 1965 30:2","id":"ITEM-1","issue":"2","issued":{"date-parts":[["1965","6"]]},"page":"179-185","publisher":"Springer","title":"A rationale and test for the number of factors in factor analysis","type":"article-journal","volume":"30"},"uris":["http://www.mendeley.com/documents/?uuid=194768ab-35c2-3c1f-a8b6-9cc443308561"]}],"mendeley":{"formattedCitation":"[7]","plainTextFormattedCitation":"[7]","previouslyFormattedCitation":"[7]"},"properties":{"noteIndex":0},"schema":"https://github.com/citation-style-language/schema/raw/master/csl-citation.json"}</w:instrText>
      </w:r>
      <w:r w:rsidR="001375F7">
        <w:rPr>
          <w:lang w:val="en-US"/>
        </w:rPr>
        <w:fldChar w:fldCharType="separate"/>
      </w:r>
      <w:r w:rsidR="00EC6BC9" w:rsidRPr="00EC6BC9">
        <w:rPr>
          <w:noProof/>
          <w:lang w:val="en-US"/>
        </w:rPr>
        <w:t>[7]</w:t>
      </w:r>
      <w:r w:rsidR="001375F7">
        <w:rPr>
          <w:lang w:val="en-US"/>
        </w:rPr>
        <w:fldChar w:fldCharType="end"/>
      </w:r>
      <w:r w:rsidR="001375F7">
        <w:rPr>
          <w:lang w:val="en-US"/>
        </w:rPr>
        <w:t>.</w:t>
      </w:r>
      <w:r w:rsidR="009F3B64">
        <w:rPr>
          <w:lang w:val="en-US"/>
        </w:rPr>
        <w:t xml:space="preserve"> This test showed that five factors seem to be reasonable. Factor analysis model is built using a </w:t>
      </w:r>
      <w:r w:rsidR="002A2C19">
        <w:rPr>
          <w:lang w:val="en-US"/>
        </w:rPr>
        <w:t>mixed c</w:t>
      </w:r>
      <w:r>
        <w:rPr>
          <w:lang w:val="en-US"/>
        </w:rPr>
        <w:t>orrelation matrix</w:t>
      </w:r>
      <w:r w:rsidR="002A2C19">
        <w:rPr>
          <w:lang w:val="en-US"/>
        </w:rPr>
        <w:t xml:space="preserve"> instead of a</w:t>
      </w:r>
      <w:r w:rsidR="009F3B64">
        <w:rPr>
          <w:lang w:val="en-US"/>
        </w:rPr>
        <w:t xml:space="preserve"> purely</w:t>
      </w:r>
      <w:r w:rsidR="002A2C19">
        <w:rPr>
          <w:lang w:val="en-US"/>
        </w:rPr>
        <w:t xml:space="preserve"> linear Pearson correlation matrix</w:t>
      </w:r>
      <w:r w:rsidR="009F3B64">
        <w:rPr>
          <w:lang w:val="en-US"/>
        </w:rPr>
        <w:t xml:space="preserve"> (because many of the variables are binary or ordinal) </w:t>
      </w:r>
      <w:r w:rsidR="009F3B64">
        <w:rPr>
          <w:lang w:val="en-US"/>
        </w:rPr>
        <w:fldChar w:fldCharType="begin" w:fldLock="1"/>
      </w:r>
      <w:r w:rsidR="009F3B64">
        <w:rPr>
          <w:lang w:val="en-US"/>
        </w:rPr>
        <w:instrText>ADDIN CSL_CITATION {"citationItems":[{"id":"ITEM-1","itemData":{"author":[{"dropping-particle":"","family":"Revelle","given":"William","non-dropping-particle":"","parse-names":false,"suffix":""}],"id":"ITEM-1","issued":{"date-parts":[["2022"]]},"publisher-place":"Northwestern University, Evanston, Illinois","title":"psych: Procedures for Psychological, Psychometric, and Personality Research. R package version 2.2.9, https://CRAN.R-project.org/package=psych.","type":"article"},"uris":["http://www.mendeley.com/documents/?uuid=8bd6e815-ecb3-452e-886d-7d3b9a243334"]}],"mendeley":{"formattedCitation":"[5]","plainTextFormattedCitation":"[5]"},"properties":{"noteIndex":0},"schema":"https://github.com/citation-style-language/schema/raw/master/csl-citation.json"}</w:instrText>
      </w:r>
      <w:r w:rsidR="009F3B64">
        <w:rPr>
          <w:lang w:val="en-US"/>
        </w:rPr>
        <w:fldChar w:fldCharType="separate"/>
      </w:r>
      <w:r w:rsidR="009F3B64" w:rsidRPr="009F3B64">
        <w:rPr>
          <w:noProof/>
          <w:lang w:val="en-US"/>
        </w:rPr>
        <w:t>[5]</w:t>
      </w:r>
      <w:r w:rsidR="009F3B64">
        <w:rPr>
          <w:lang w:val="en-US"/>
        </w:rPr>
        <w:fldChar w:fldCharType="end"/>
      </w:r>
      <w:r w:rsidR="009F3B64">
        <w:rPr>
          <w:lang w:val="en-US"/>
        </w:rPr>
        <w:t xml:space="preserve">. </w:t>
      </w:r>
    </w:p>
    <w:p w14:paraId="3C216175" w14:textId="4C3B2D9C" w:rsidR="004F3320" w:rsidRDefault="004F3320" w:rsidP="00EA6E06">
      <w:pPr>
        <w:jc w:val="center"/>
        <w:rPr>
          <w:lang w:val="en-US"/>
        </w:rPr>
      </w:pPr>
    </w:p>
    <w:p w14:paraId="7CE3D48A" w14:textId="516E37D9" w:rsidR="00AF59B5" w:rsidRDefault="00A76CF2" w:rsidP="00AF59B5">
      <w:pPr>
        <w:rPr>
          <w:lang w:val="en-US"/>
        </w:rPr>
      </w:pPr>
      <w:r>
        <w:rPr>
          <w:lang w:val="en-US"/>
        </w:rPr>
        <w:t xml:space="preserve">The results of the factor analysis with </w:t>
      </w:r>
      <w:r w:rsidR="006016EA">
        <w:rPr>
          <w:lang w:val="en-US"/>
        </w:rPr>
        <w:t xml:space="preserve">5 </w:t>
      </w:r>
      <w:r>
        <w:rPr>
          <w:lang w:val="en-US"/>
        </w:rPr>
        <w:t xml:space="preserve">factors using Principal Axis Factoring for factor extraction and the </w:t>
      </w:r>
      <w:r w:rsidR="00F9483A">
        <w:rPr>
          <w:lang w:val="en-US"/>
        </w:rPr>
        <w:t>varimax</w:t>
      </w:r>
      <w:r>
        <w:rPr>
          <w:lang w:val="en-US"/>
        </w:rPr>
        <w:t xml:space="preserve"> rotation indicate that the first factor (PA1) groups neighbourhood-related factors. That is, dwelling type (1- apartment, 2- terraced, detached and semi-detached houses) is correlated with the urbanity of neighbourhood, social cohesion and insecurity). The second factor </w:t>
      </w:r>
      <w:r w:rsidR="001914DB">
        <w:rPr>
          <w:lang w:val="en-US"/>
        </w:rPr>
        <w:t xml:space="preserve">(PA3) groups economic variables and energy consumption. The third factor (PA2) seems to combine socio-demographic factors </w:t>
      </w:r>
      <w:r w:rsidR="001914DB">
        <w:rPr>
          <w:lang w:val="en-US"/>
        </w:rPr>
        <w:lastRenderedPageBreak/>
        <w:t>(age, education, household size and length of residence) and the willingness to adopt more EER and RE.</w:t>
      </w:r>
      <w:r w:rsidR="006016EA">
        <w:rPr>
          <w:lang w:val="en-US"/>
        </w:rPr>
        <w:t xml:space="preserve"> PA5</w:t>
      </w:r>
      <w:r w:rsidR="0007624D">
        <w:rPr>
          <w:lang w:val="en-US"/>
        </w:rPr>
        <w:t xml:space="preserve"> shows a high correlation between whether a dwelling is a flat or apartment</w:t>
      </w:r>
      <w:r w:rsidR="006016EA">
        <w:rPr>
          <w:lang w:val="en-US"/>
        </w:rPr>
        <w:t xml:space="preserve"> </w:t>
      </w:r>
      <w:r w:rsidR="0007624D">
        <w:rPr>
          <w:lang w:val="en-US"/>
        </w:rPr>
        <w:t>and whether they have solar panels. Finally, PA4 shows that older houses bought earlier groups with the higher gas consumption and absence of heat pump.</w:t>
      </w:r>
    </w:p>
    <w:p w14:paraId="085C85C1" w14:textId="6E391D2D" w:rsidR="0063291C" w:rsidRDefault="004B21BB" w:rsidP="00EA6E06">
      <w:pPr>
        <w:pStyle w:val="Caption"/>
        <w:jc w:val="center"/>
        <w:rPr>
          <w:color w:val="auto"/>
          <w:sz w:val="20"/>
          <w:szCs w:val="24"/>
          <w:lang w:val="en-US"/>
        </w:rPr>
      </w:pPr>
      <w:bookmarkStart w:id="1" w:name="_Ref119925252"/>
      <w:bookmarkStart w:id="2" w:name="_Ref119925248"/>
      <w:r w:rsidRPr="004B21BB">
        <w:rPr>
          <w:color w:val="auto"/>
          <w:sz w:val="20"/>
          <w:szCs w:val="24"/>
          <w:lang w:val="en-US"/>
        </w:rPr>
        <w:t xml:space="preserve">Table </w:t>
      </w:r>
      <w:r w:rsidRPr="004B21BB">
        <w:rPr>
          <w:color w:val="auto"/>
          <w:sz w:val="20"/>
          <w:szCs w:val="24"/>
          <w:lang w:val="en-US"/>
        </w:rPr>
        <w:fldChar w:fldCharType="begin"/>
      </w:r>
      <w:r w:rsidRPr="004B21BB">
        <w:rPr>
          <w:color w:val="auto"/>
          <w:sz w:val="20"/>
          <w:szCs w:val="24"/>
          <w:lang w:val="en-US"/>
        </w:rPr>
        <w:instrText xml:space="preserve"> SEQ Table \* ARABIC </w:instrText>
      </w:r>
      <w:r w:rsidRPr="004B21BB">
        <w:rPr>
          <w:color w:val="auto"/>
          <w:sz w:val="20"/>
          <w:szCs w:val="24"/>
          <w:lang w:val="en-US"/>
        </w:rPr>
        <w:fldChar w:fldCharType="separate"/>
      </w:r>
      <w:r w:rsidRPr="004B21BB">
        <w:rPr>
          <w:color w:val="auto"/>
          <w:sz w:val="20"/>
          <w:szCs w:val="24"/>
          <w:lang w:val="en-US"/>
        </w:rPr>
        <w:t>1</w:t>
      </w:r>
      <w:r w:rsidRPr="004B21BB">
        <w:rPr>
          <w:color w:val="auto"/>
          <w:sz w:val="20"/>
          <w:szCs w:val="24"/>
          <w:lang w:val="en-US"/>
        </w:rPr>
        <w:fldChar w:fldCharType="end"/>
      </w:r>
      <w:bookmarkEnd w:id="1"/>
      <w:r w:rsidRPr="004B21BB">
        <w:rPr>
          <w:color w:val="auto"/>
          <w:sz w:val="20"/>
          <w:szCs w:val="24"/>
          <w:lang w:val="en-US"/>
        </w:rPr>
        <w:t>. Factor analysis output</w:t>
      </w:r>
      <w:bookmarkEnd w:id="2"/>
    </w:p>
    <w:tbl>
      <w:tblPr>
        <w:tblStyle w:val="TableGrid"/>
        <w:tblW w:w="7230" w:type="dxa"/>
        <w:tblInd w:w="562" w:type="dxa"/>
        <w:tblLook w:val="04A0" w:firstRow="1" w:lastRow="0" w:firstColumn="1" w:lastColumn="0" w:noHBand="0" w:noVBand="1"/>
      </w:tblPr>
      <w:tblGrid>
        <w:gridCol w:w="1711"/>
        <w:gridCol w:w="1124"/>
        <w:gridCol w:w="1134"/>
        <w:gridCol w:w="1134"/>
        <w:gridCol w:w="1134"/>
        <w:gridCol w:w="993"/>
      </w:tblGrid>
      <w:tr w:rsidR="006016EA" w:rsidRPr="006016EA" w14:paraId="57EDC45B" w14:textId="77777777" w:rsidTr="006016EA">
        <w:tc>
          <w:tcPr>
            <w:tcW w:w="1711" w:type="dxa"/>
            <w:noWrap/>
            <w:hideMark/>
          </w:tcPr>
          <w:p w14:paraId="5364197E" w14:textId="1D0A4A8E" w:rsidR="006016EA" w:rsidRPr="006016EA" w:rsidRDefault="006016EA" w:rsidP="006016EA">
            <w:pPr>
              <w:rPr>
                <w:rFonts w:cs="Arial"/>
                <w:b/>
                <w:bCs/>
                <w:sz w:val="16"/>
                <w:szCs w:val="16"/>
                <w:lang w:val="en-GB"/>
              </w:rPr>
            </w:pPr>
            <w:r w:rsidRPr="006016EA">
              <w:rPr>
                <w:rFonts w:cs="Arial"/>
                <w:b/>
                <w:bCs/>
                <w:sz w:val="16"/>
                <w:szCs w:val="16"/>
              </w:rPr>
              <w:t>Variables</w:t>
            </w:r>
          </w:p>
        </w:tc>
        <w:tc>
          <w:tcPr>
            <w:tcW w:w="1124" w:type="dxa"/>
            <w:noWrap/>
            <w:hideMark/>
          </w:tcPr>
          <w:p w14:paraId="4232EA3D" w14:textId="77777777" w:rsidR="006016EA" w:rsidRPr="006016EA" w:rsidRDefault="006016EA" w:rsidP="006016EA">
            <w:pPr>
              <w:rPr>
                <w:rFonts w:cs="Arial"/>
                <w:b/>
                <w:bCs/>
                <w:sz w:val="16"/>
                <w:szCs w:val="16"/>
              </w:rPr>
            </w:pPr>
            <w:r w:rsidRPr="006016EA">
              <w:rPr>
                <w:rFonts w:cs="Arial"/>
                <w:b/>
                <w:bCs/>
                <w:sz w:val="16"/>
                <w:szCs w:val="16"/>
              </w:rPr>
              <w:t>PA1</w:t>
            </w:r>
          </w:p>
        </w:tc>
        <w:tc>
          <w:tcPr>
            <w:tcW w:w="1134" w:type="dxa"/>
            <w:noWrap/>
            <w:hideMark/>
          </w:tcPr>
          <w:p w14:paraId="3650FC7A" w14:textId="77777777" w:rsidR="006016EA" w:rsidRPr="006016EA" w:rsidRDefault="006016EA" w:rsidP="006016EA">
            <w:pPr>
              <w:rPr>
                <w:rFonts w:cs="Arial"/>
                <w:b/>
                <w:bCs/>
                <w:sz w:val="16"/>
                <w:szCs w:val="16"/>
              </w:rPr>
            </w:pPr>
            <w:r w:rsidRPr="006016EA">
              <w:rPr>
                <w:rFonts w:cs="Arial"/>
                <w:b/>
                <w:bCs/>
                <w:sz w:val="16"/>
                <w:szCs w:val="16"/>
              </w:rPr>
              <w:t>PA3</w:t>
            </w:r>
          </w:p>
        </w:tc>
        <w:tc>
          <w:tcPr>
            <w:tcW w:w="1134" w:type="dxa"/>
            <w:noWrap/>
            <w:hideMark/>
          </w:tcPr>
          <w:p w14:paraId="5BF2B7C0" w14:textId="77777777" w:rsidR="006016EA" w:rsidRPr="006016EA" w:rsidRDefault="006016EA" w:rsidP="006016EA">
            <w:pPr>
              <w:rPr>
                <w:rFonts w:cs="Arial"/>
                <w:b/>
                <w:bCs/>
                <w:sz w:val="16"/>
                <w:szCs w:val="16"/>
              </w:rPr>
            </w:pPr>
            <w:r w:rsidRPr="006016EA">
              <w:rPr>
                <w:rFonts w:cs="Arial"/>
                <w:b/>
                <w:bCs/>
                <w:sz w:val="16"/>
                <w:szCs w:val="16"/>
              </w:rPr>
              <w:t>PA2</w:t>
            </w:r>
          </w:p>
        </w:tc>
        <w:tc>
          <w:tcPr>
            <w:tcW w:w="1134" w:type="dxa"/>
            <w:noWrap/>
            <w:hideMark/>
          </w:tcPr>
          <w:p w14:paraId="09801C04" w14:textId="77777777" w:rsidR="006016EA" w:rsidRPr="006016EA" w:rsidRDefault="006016EA" w:rsidP="006016EA">
            <w:pPr>
              <w:rPr>
                <w:rFonts w:cs="Arial"/>
                <w:b/>
                <w:bCs/>
                <w:sz w:val="16"/>
                <w:szCs w:val="16"/>
              </w:rPr>
            </w:pPr>
            <w:r w:rsidRPr="006016EA">
              <w:rPr>
                <w:rFonts w:cs="Arial"/>
                <w:b/>
                <w:bCs/>
                <w:sz w:val="16"/>
                <w:szCs w:val="16"/>
              </w:rPr>
              <w:t>PA5</w:t>
            </w:r>
          </w:p>
        </w:tc>
        <w:tc>
          <w:tcPr>
            <w:tcW w:w="993" w:type="dxa"/>
            <w:noWrap/>
            <w:hideMark/>
          </w:tcPr>
          <w:p w14:paraId="12BF8213" w14:textId="77777777" w:rsidR="006016EA" w:rsidRPr="006016EA" w:rsidRDefault="006016EA" w:rsidP="006016EA">
            <w:pPr>
              <w:rPr>
                <w:rFonts w:cs="Arial"/>
                <w:b/>
                <w:bCs/>
                <w:sz w:val="16"/>
                <w:szCs w:val="16"/>
              </w:rPr>
            </w:pPr>
            <w:r w:rsidRPr="006016EA">
              <w:rPr>
                <w:rFonts w:cs="Arial"/>
                <w:b/>
                <w:bCs/>
                <w:sz w:val="16"/>
                <w:szCs w:val="16"/>
              </w:rPr>
              <w:t>PA4</w:t>
            </w:r>
          </w:p>
        </w:tc>
      </w:tr>
      <w:tr w:rsidR="006016EA" w:rsidRPr="006016EA" w14:paraId="3F85054F" w14:textId="77777777" w:rsidTr="006016EA">
        <w:tc>
          <w:tcPr>
            <w:tcW w:w="1711" w:type="dxa"/>
            <w:noWrap/>
            <w:hideMark/>
          </w:tcPr>
          <w:p w14:paraId="5792AC67" w14:textId="77777777" w:rsidR="006016EA" w:rsidRPr="006016EA" w:rsidRDefault="006016EA" w:rsidP="006016EA">
            <w:pPr>
              <w:rPr>
                <w:rFonts w:cs="Arial"/>
                <w:sz w:val="16"/>
                <w:szCs w:val="16"/>
              </w:rPr>
            </w:pPr>
            <w:proofErr w:type="spellStart"/>
            <w:r w:rsidRPr="006016EA">
              <w:rPr>
                <w:rFonts w:cs="Arial"/>
                <w:sz w:val="16"/>
                <w:szCs w:val="16"/>
              </w:rPr>
              <w:t>year_bought</w:t>
            </w:r>
            <w:proofErr w:type="spellEnd"/>
          </w:p>
        </w:tc>
        <w:tc>
          <w:tcPr>
            <w:tcW w:w="1124" w:type="dxa"/>
            <w:noWrap/>
            <w:hideMark/>
          </w:tcPr>
          <w:p w14:paraId="30ECC0FD" w14:textId="77777777" w:rsidR="006016EA" w:rsidRPr="006016EA" w:rsidRDefault="006016EA" w:rsidP="006016EA">
            <w:pPr>
              <w:rPr>
                <w:rFonts w:cs="Arial"/>
                <w:sz w:val="16"/>
                <w:szCs w:val="16"/>
              </w:rPr>
            </w:pPr>
            <w:r w:rsidRPr="006016EA">
              <w:rPr>
                <w:rFonts w:cs="Arial"/>
                <w:sz w:val="16"/>
                <w:szCs w:val="16"/>
              </w:rPr>
              <w:t>-0,122</w:t>
            </w:r>
          </w:p>
        </w:tc>
        <w:tc>
          <w:tcPr>
            <w:tcW w:w="1134" w:type="dxa"/>
            <w:noWrap/>
            <w:hideMark/>
          </w:tcPr>
          <w:p w14:paraId="05B46E06" w14:textId="77777777" w:rsidR="006016EA" w:rsidRPr="006016EA" w:rsidRDefault="006016EA" w:rsidP="006016EA">
            <w:pPr>
              <w:rPr>
                <w:rFonts w:cs="Arial"/>
                <w:sz w:val="16"/>
                <w:szCs w:val="16"/>
              </w:rPr>
            </w:pPr>
            <w:r w:rsidRPr="006016EA">
              <w:rPr>
                <w:rFonts w:cs="Arial"/>
                <w:sz w:val="16"/>
                <w:szCs w:val="16"/>
              </w:rPr>
              <w:t>-0,017</w:t>
            </w:r>
          </w:p>
        </w:tc>
        <w:tc>
          <w:tcPr>
            <w:tcW w:w="1134" w:type="dxa"/>
            <w:noWrap/>
            <w:hideMark/>
          </w:tcPr>
          <w:p w14:paraId="75ED93EC" w14:textId="77777777" w:rsidR="006016EA" w:rsidRPr="006016EA" w:rsidRDefault="006016EA" w:rsidP="006016EA">
            <w:pPr>
              <w:rPr>
                <w:rFonts w:cs="Arial"/>
                <w:sz w:val="16"/>
                <w:szCs w:val="16"/>
              </w:rPr>
            </w:pPr>
            <w:r w:rsidRPr="006016EA">
              <w:rPr>
                <w:rFonts w:cs="Arial"/>
                <w:sz w:val="16"/>
                <w:szCs w:val="16"/>
                <w:highlight w:val="lightGray"/>
              </w:rPr>
              <w:t>0,620</w:t>
            </w:r>
          </w:p>
        </w:tc>
        <w:tc>
          <w:tcPr>
            <w:tcW w:w="1134" w:type="dxa"/>
            <w:noWrap/>
            <w:hideMark/>
          </w:tcPr>
          <w:p w14:paraId="3650CA55" w14:textId="77777777" w:rsidR="006016EA" w:rsidRPr="006016EA" w:rsidRDefault="006016EA" w:rsidP="006016EA">
            <w:pPr>
              <w:rPr>
                <w:rFonts w:cs="Arial"/>
                <w:sz w:val="16"/>
                <w:szCs w:val="16"/>
              </w:rPr>
            </w:pPr>
            <w:r w:rsidRPr="006016EA">
              <w:rPr>
                <w:rFonts w:cs="Arial"/>
                <w:sz w:val="16"/>
                <w:szCs w:val="16"/>
              </w:rPr>
              <w:t>0,189</w:t>
            </w:r>
          </w:p>
        </w:tc>
        <w:tc>
          <w:tcPr>
            <w:tcW w:w="993" w:type="dxa"/>
            <w:noWrap/>
            <w:hideMark/>
          </w:tcPr>
          <w:p w14:paraId="546EF39F" w14:textId="77777777" w:rsidR="006016EA" w:rsidRPr="006016EA" w:rsidRDefault="006016EA" w:rsidP="006016EA">
            <w:pPr>
              <w:rPr>
                <w:rFonts w:cs="Arial"/>
                <w:sz w:val="16"/>
                <w:szCs w:val="16"/>
                <w:highlight w:val="lightGray"/>
              </w:rPr>
            </w:pPr>
            <w:r w:rsidRPr="006016EA">
              <w:rPr>
                <w:rFonts w:cs="Arial"/>
                <w:sz w:val="16"/>
                <w:szCs w:val="16"/>
                <w:highlight w:val="lightGray"/>
              </w:rPr>
              <w:t>-0,413</w:t>
            </w:r>
          </w:p>
        </w:tc>
      </w:tr>
      <w:tr w:rsidR="006016EA" w:rsidRPr="006016EA" w14:paraId="7447B617" w14:textId="77777777" w:rsidTr="006016EA">
        <w:tc>
          <w:tcPr>
            <w:tcW w:w="1711" w:type="dxa"/>
            <w:noWrap/>
            <w:hideMark/>
          </w:tcPr>
          <w:p w14:paraId="6D298CC6" w14:textId="77777777" w:rsidR="006016EA" w:rsidRPr="006016EA" w:rsidRDefault="006016EA" w:rsidP="006016EA">
            <w:pPr>
              <w:rPr>
                <w:rFonts w:cs="Arial"/>
                <w:sz w:val="16"/>
                <w:szCs w:val="16"/>
              </w:rPr>
            </w:pPr>
            <w:proofErr w:type="spellStart"/>
            <w:r w:rsidRPr="006016EA">
              <w:rPr>
                <w:rFonts w:cs="Arial"/>
                <w:sz w:val="16"/>
                <w:szCs w:val="16"/>
              </w:rPr>
              <w:t>constr_year</w:t>
            </w:r>
            <w:proofErr w:type="spellEnd"/>
          </w:p>
        </w:tc>
        <w:tc>
          <w:tcPr>
            <w:tcW w:w="1124" w:type="dxa"/>
            <w:noWrap/>
            <w:hideMark/>
          </w:tcPr>
          <w:p w14:paraId="6E0A8967" w14:textId="77777777" w:rsidR="006016EA" w:rsidRPr="006016EA" w:rsidRDefault="006016EA" w:rsidP="006016EA">
            <w:pPr>
              <w:rPr>
                <w:rFonts w:cs="Arial"/>
                <w:sz w:val="16"/>
                <w:szCs w:val="16"/>
              </w:rPr>
            </w:pPr>
            <w:r w:rsidRPr="006016EA">
              <w:rPr>
                <w:rFonts w:cs="Arial"/>
                <w:sz w:val="16"/>
                <w:szCs w:val="16"/>
              </w:rPr>
              <w:t>0,084</w:t>
            </w:r>
          </w:p>
        </w:tc>
        <w:tc>
          <w:tcPr>
            <w:tcW w:w="1134" w:type="dxa"/>
            <w:noWrap/>
            <w:hideMark/>
          </w:tcPr>
          <w:p w14:paraId="25462FD4" w14:textId="77777777" w:rsidR="006016EA" w:rsidRPr="006016EA" w:rsidRDefault="006016EA" w:rsidP="006016EA">
            <w:pPr>
              <w:rPr>
                <w:rFonts w:cs="Arial"/>
                <w:sz w:val="16"/>
                <w:szCs w:val="16"/>
              </w:rPr>
            </w:pPr>
            <w:r w:rsidRPr="006016EA">
              <w:rPr>
                <w:rFonts w:cs="Arial"/>
                <w:sz w:val="16"/>
                <w:szCs w:val="16"/>
              </w:rPr>
              <w:t>-0,113</w:t>
            </w:r>
          </w:p>
        </w:tc>
        <w:tc>
          <w:tcPr>
            <w:tcW w:w="1134" w:type="dxa"/>
            <w:noWrap/>
            <w:hideMark/>
          </w:tcPr>
          <w:p w14:paraId="10A591CA" w14:textId="77777777" w:rsidR="006016EA" w:rsidRPr="006016EA" w:rsidRDefault="006016EA" w:rsidP="006016EA">
            <w:pPr>
              <w:rPr>
                <w:rFonts w:cs="Arial"/>
                <w:sz w:val="16"/>
                <w:szCs w:val="16"/>
              </w:rPr>
            </w:pPr>
            <w:r w:rsidRPr="006016EA">
              <w:rPr>
                <w:rFonts w:cs="Arial"/>
                <w:sz w:val="16"/>
                <w:szCs w:val="16"/>
              </w:rPr>
              <w:t>-0,006</w:t>
            </w:r>
          </w:p>
        </w:tc>
        <w:tc>
          <w:tcPr>
            <w:tcW w:w="1134" w:type="dxa"/>
            <w:noWrap/>
            <w:hideMark/>
          </w:tcPr>
          <w:p w14:paraId="3AD6A795" w14:textId="77777777" w:rsidR="006016EA" w:rsidRPr="006016EA" w:rsidRDefault="006016EA" w:rsidP="006016EA">
            <w:pPr>
              <w:rPr>
                <w:rFonts w:cs="Arial"/>
                <w:sz w:val="16"/>
                <w:szCs w:val="16"/>
              </w:rPr>
            </w:pPr>
            <w:r w:rsidRPr="006016EA">
              <w:rPr>
                <w:rFonts w:cs="Arial"/>
                <w:sz w:val="16"/>
                <w:szCs w:val="16"/>
              </w:rPr>
              <w:t>-0,061</w:t>
            </w:r>
          </w:p>
        </w:tc>
        <w:tc>
          <w:tcPr>
            <w:tcW w:w="993" w:type="dxa"/>
            <w:noWrap/>
            <w:hideMark/>
          </w:tcPr>
          <w:p w14:paraId="57E7D79E" w14:textId="77777777" w:rsidR="006016EA" w:rsidRPr="006016EA" w:rsidRDefault="006016EA" w:rsidP="006016EA">
            <w:pPr>
              <w:rPr>
                <w:rFonts w:cs="Arial"/>
                <w:sz w:val="16"/>
                <w:szCs w:val="16"/>
                <w:highlight w:val="lightGray"/>
              </w:rPr>
            </w:pPr>
            <w:r w:rsidRPr="006016EA">
              <w:rPr>
                <w:rFonts w:cs="Arial"/>
                <w:sz w:val="16"/>
                <w:szCs w:val="16"/>
                <w:highlight w:val="lightGray"/>
              </w:rPr>
              <w:t>-0,386</w:t>
            </w:r>
          </w:p>
        </w:tc>
      </w:tr>
      <w:tr w:rsidR="006016EA" w:rsidRPr="006016EA" w14:paraId="64A26A4E" w14:textId="77777777" w:rsidTr="006016EA">
        <w:tc>
          <w:tcPr>
            <w:tcW w:w="1711" w:type="dxa"/>
            <w:noWrap/>
            <w:hideMark/>
          </w:tcPr>
          <w:p w14:paraId="7E218D8F" w14:textId="77777777" w:rsidR="006016EA" w:rsidRPr="006016EA" w:rsidRDefault="006016EA" w:rsidP="006016EA">
            <w:pPr>
              <w:rPr>
                <w:rFonts w:cs="Arial"/>
                <w:sz w:val="16"/>
                <w:szCs w:val="16"/>
              </w:rPr>
            </w:pPr>
            <w:proofErr w:type="spellStart"/>
            <w:r w:rsidRPr="006016EA">
              <w:rPr>
                <w:rFonts w:cs="Arial"/>
                <w:sz w:val="16"/>
                <w:szCs w:val="16"/>
              </w:rPr>
              <w:t>income</w:t>
            </w:r>
            <w:proofErr w:type="spellEnd"/>
          </w:p>
        </w:tc>
        <w:tc>
          <w:tcPr>
            <w:tcW w:w="1124" w:type="dxa"/>
            <w:noWrap/>
            <w:hideMark/>
          </w:tcPr>
          <w:p w14:paraId="684094DE" w14:textId="77777777" w:rsidR="006016EA" w:rsidRPr="006016EA" w:rsidRDefault="006016EA" w:rsidP="006016EA">
            <w:pPr>
              <w:rPr>
                <w:rFonts w:cs="Arial"/>
                <w:sz w:val="16"/>
                <w:szCs w:val="16"/>
              </w:rPr>
            </w:pPr>
            <w:r w:rsidRPr="006016EA">
              <w:rPr>
                <w:rFonts w:cs="Arial"/>
                <w:sz w:val="16"/>
                <w:szCs w:val="16"/>
              </w:rPr>
              <w:t>0,021</w:t>
            </w:r>
          </w:p>
        </w:tc>
        <w:tc>
          <w:tcPr>
            <w:tcW w:w="1134" w:type="dxa"/>
            <w:noWrap/>
            <w:hideMark/>
          </w:tcPr>
          <w:p w14:paraId="109BF479" w14:textId="77777777" w:rsidR="006016EA" w:rsidRPr="006016EA" w:rsidRDefault="006016EA" w:rsidP="006016EA">
            <w:pPr>
              <w:rPr>
                <w:rFonts w:cs="Arial"/>
                <w:sz w:val="16"/>
                <w:szCs w:val="16"/>
                <w:highlight w:val="lightGray"/>
              </w:rPr>
            </w:pPr>
            <w:r w:rsidRPr="006016EA">
              <w:rPr>
                <w:rFonts w:cs="Arial"/>
                <w:sz w:val="16"/>
                <w:szCs w:val="16"/>
                <w:highlight w:val="lightGray"/>
              </w:rPr>
              <w:t>0,509</w:t>
            </w:r>
          </w:p>
        </w:tc>
        <w:tc>
          <w:tcPr>
            <w:tcW w:w="1134" w:type="dxa"/>
            <w:noWrap/>
            <w:hideMark/>
          </w:tcPr>
          <w:p w14:paraId="49FE880B" w14:textId="77777777" w:rsidR="006016EA" w:rsidRPr="006016EA" w:rsidRDefault="006016EA" w:rsidP="006016EA">
            <w:pPr>
              <w:rPr>
                <w:rFonts w:cs="Arial"/>
                <w:sz w:val="16"/>
                <w:szCs w:val="16"/>
              </w:rPr>
            </w:pPr>
            <w:r w:rsidRPr="006016EA">
              <w:rPr>
                <w:rFonts w:cs="Arial"/>
                <w:sz w:val="16"/>
                <w:szCs w:val="16"/>
              </w:rPr>
              <w:t>0,211</w:t>
            </w:r>
          </w:p>
        </w:tc>
        <w:tc>
          <w:tcPr>
            <w:tcW w:w="1134" w:type="dxa"/>
            <w:noWrap/>
            <w:hideMark/>
          </w:tcPr>
          <w:p w14:paraId="44B5EFC7" w14:textId="77777777" w:rsidR="006016EA" w:rsidRPr="006016EA" w:rsidRDefault="006016EA" w:rsidP="006016EA">
            <w:pPr>
              <w:rPr>
                <w:rFonts w:cs="Arial"/>
                <w:sz w:val="16"/>
                <w:szCs w:val="16"/>
              </w:rPr>
            </w:pPr>
            <w:r w:rsidRPr="006016EA">
              <w:rPr>
                <w:rFonts w:cs="Arial"/>
                <w:sz w:val="16"/>
                <w:szCs w:val="16"/>
              </w:rPr>
              <w:t>-0,053</w:t>
            </w:r>
          </w:p>
        </w:tc>
        <w:tc>
          <w:tcPr>
            <w:tcW w:w="993" w:type="dxa"/>
            <w:noWrap/>
            <w:hideMark/>
          </w:tcPr>
          <w:p w14:paraId="12BC80B5" w14:textId="77777777" w:rsidR="006016EA" w:rsidRPr="006016EA" w:rsidRDefault="006016EA" w:rsidP="006016EA">
            <w:pPr>
              <w:rPr>
                <w:rFonts w:cs="Arial"/>
                <w:sz w:val="16"/>
                <w:szCs w:val="16"/>
              </w:rPr>
            </w:pPr>
            <w:r w:rsidRPr="006016EA">
              <w:rPr>
                <w:rFonts w:cs="Arial"/>
                <w:sz w:val="16"/>
                <w:szCs w:val="16"/>
              </w:rPr>
              <w:t>-0,003</w:t>
            </w:r>
          </w:p>
        </w:tc>
      </w:tr>
      <w:tr w:rsidR="006016EA" w:rsidRPr="006016EA" w14:paraId="0092AC75" w14:textId="77777777" w:rsidTr="006016EA">
        <w:tc>
          <w:tcPr>
            <w:tcW w:w="1711" w:type="dxa"/>
            <w:noWrap/>
            <w:hideMark/>
          </w:tcPr>
          <w:p w14:paraId="45D52846" w14:textId="77777777" w:rsidR="006016EA" w:rsidRPr="006016EA" w:rsidRDefault="006016EA" w:rsidP="006016EA">
            <w:pPr>
              <w:rPr>
                <w:rFonts w:cs="Arial"/>
                <w:sz w:val="16"/>
                <w:szCs w:val="16"/>
              </w:rPr>
            </w:pPr>
            <w:proofErr w:type="spellStart"/>
            <w:r w:rsidRPr="006016EA">
              <w:rPr>
                <w:rFonts w:cs="Arial"/>
                <w:sz w:val="16"/>
                <w:szCs w:val="16"/>
              </w:rPr>
              <w:t>house_value</w:t>
            </w:r>
            <w:proofErr w:type="spellEnd"/>
          </w:p>
        </w:tc>
        <w:tc>
          <w:tcPr>
            <w:tcW w:w="1124" w:type="dxa"/>
            <w:noWrap/>
            <w:hideMark/>
          </w:tcPr>
          <w:p w14:paraId="1D76DB86" w14:textId="77777777" w:rsidR="006016EA" w:rsidRPr="006016EA" w:rsidRDefault="006016EA" w:rsidP="006016EA">
            <w:pPr>
              <w:rPr>
                <w:rFonts w:cs="Arial"/>
                <w:sz w:val="16"/>
                <w:szCs w:val="16"/>
              </w:rPr>
            </w:pPr>
            <w:r w:rsidRPr="006016EA">
              <w:rPr>
                <w:rFonts w:cs="Arial"/>
                <w:sz w:val="16"/>
                <w:szCs w:val="16"/>
              </w:rPr>
              <w:t>0,040</w:t>
            </w:r>
          </w:p>
        </w:tc>
        <w:tc>
          <w:tcPr>
            <w:tcW w:w="1134" w:type="dxa"/>
            <w:noWrap/>
            <w:hideMark/>
          </w:tcPr>
          <w:p w14:paraId="73D07234" w14:textId="77777777" w:rsidR="006016EA" w:rsidRPr="006016EA" w:rsidRDefault="006016EA" w:rsidP="006016EA">
            <w:pPr>
              <w:rPr>
                <w:rFonts w:cs="Arial"/>
                <w:sz w:val="16"/>
                <w:szCs w:val="16"/>
                <w:highlight w:val="lightGray"/>
              </w:rPr>
            </w:pPr>
            <w:r w:rsidRPr="006016EA">
              <w:rPr>
                <w:rFonts w:cs="Arial"/>
                <w:sz w:val="16"/>
                <w:szCs w:val="16"/>
                <w:highlight w:val="lightGray"/>
              </w:rPr>
              <w:t>0,795</w:t>
            </w:r>
          </w:p>
        </w:tc>
        <w:tc>
          <w:tcPr>
            <w:tcW w:w="1134" w:type="dxa"/>
            <w:noWrap/>
            <w:hideMark/>
          </w:tcPr>
          <w:p w14:paraId="1EBA1C85" w14:textId="77777777" w:rsidR="006016EA" w:rsidRPr="006016EA" w:rsidRDefault="006016EA" w:rsidP="006016EA">
            <w:pPr>
              <w:rPr>
                <w:rFonts w:cs="Arial"/>
                <w:sz w:val="16"/>
                <w:szCs w:val="16"/>
              </w:rPr>
            </w:pPr>
            <w:r w:rsidRPr="006016EA">
              <w:rPr>
                <w:rFonts w:cs="Arial"/>
                <w:sz w:val="16"/>
                <w:szCs w:val="16"/>
              </w:rPr>
              <w:t>0,034</w:t>
            </w:r>
          </w:p>
        </w:tc>
        <w:tc>
          <w:tcPr>
            <w:tcW w:w="1134" w:type="dxa"/>
            <w:noWrap/>
            <w:hideMark/>
          </w:tcPr>
          <w:p w14:paraId="64E4D5E2" w14:textId="77777777" w:rsidR="006016EA" w:rsidRPr="006016EA" w:rsidRDefault="006016EA" w:rsidP="006016EA">
            <w:pPr>
              <w:rPr>
                <w:rFonts w:cs="Arial"/>
                <w:sz w:val="16"/>
                <w:szCs w:val="16"/>
              </w:rPr>
            </w:pPr>
            <w:r w:rsidRPr="006016EA">
              <w:rPr>
                <w:rFonts w:cs="Arial"/>
                <w:sz w:val="16"/>
                <w:szCs w:val="16"/>
              </w:rPr>
              <w:t>-0,069</w:t>
            </w:r>
          </w:p>
        </w:tc>
        <w:tc>
          <w:tcPr>
            <w:tcW w:w="993" w:type="dxa"/>
            <w:noWrap/>
            <w:hideMark/>
          </w:tcPr>
          <w:p w14:paraId="39EE2874" w14:textId="77777777" w:rsidR="006016EA" w:rsidRPr="006016EA" w:rsidRDefault="006016EA" w:rsidP="006016EA">
            <w:pPr>
              <w:rPr>
                <w:rFonts w:cs="Arial"/>
                <w:sz w:val="16"/>
                <w:szCs w:val="16"/>
              </w:rPr>
            </w:pPr>
            <w:r w:rsidRPr="006016EA">
              <w:rPr>
                <w:rFonts w:cs="Arial"/>
                <w:sz w:val="16"/>
                <w:szCs w:val="16"/>
              </w:rPr>
              <w:t>-0,054</w:t>
            </w:r>
          </w:p>
        </w:tc>
      </w:tr>
      <w:tr w:rsidR="006016EA" w:rsidRPr="006016EA" w14:paraId="68643DA6" w14:textId="77777777" w:rsidTr="006016EA">
        <w:tc>
          <w:tcPr>
            <w:tcW w:w="1711" w:type="dxa"/>
            <w:noWrap/>
            <w:hideMark/>
          </w:tcPr>
          <w:p w14:paraId="15EEAE77" w14:textId="77777777" w:rsidR="006016EA" w:rsidRPr="006016EA" w:rsidRDefault="006016EA" w:rsidP="006016EA">
            <w:pPr>
              <w:rPr>
                <w:rFonts w:cs="Arial"/>
                <w:sz w:val="16"/>
                <w:szCs w:val="16"/>
              </w:rPr>
            </w:pPr>
            <w:proofErr w:type="spellStart"/>
            <w:r w:rsidRPr="006016EA">
              <w:rPr>
                <w:rFonts w:cs="Arial"/>
                <w:sz w:val="16"/>
                <w:szCs w:val="16"/>
              </w:rPr>
              <w:t>wealth</w:t>
            </w:r>
            <w:proofErr w:type="spellEnd"/>
          </w:p>
        </w:tc>
        <w:tc>
          <w:tcPr>
            <w:tcW w:w="1124" w:type="dxa"/>
            <w:noWrap/>
            <w:hideMark/>
          </w:tcPr>
          <w:p w14:paraId="00A7DA49" w14:textId="77777777" w:rsidR="006016EA" w:rsidRPr="006016EA" w:rsidRDefault="006016EA" w:rsidP="006016EA">
            <w:pPr>
              <w:rPr>
                <w:rFonts w:cs="Arial"/>
                <w:sz w:val="16"/>
                <w:szCs w:val="16"/>
              </w:rPr>
            </w:pPr>
            <w:r w:rsidRPr="006016EA">
              <w:rPr>
                <w:rFonts w:cs="Arial"/>
                <w:sz w:val="16"/>
                <w:szCs w:val="16"/>
              </w:rPr>
              <w:t>0,020</w:t>
            </w:r>
          </w:p>
        </w:tc>
        <w:tc>
          <w:tcPr>
            <w:tcW w:w="1134" w:type="dxa"/>
            <w:noWrap/>
            <w:hideMark/>
          </w:tcPr>
          <w:p w14:paraId="426DD356" w14:textId="77777777" w:rsidR="006016EA" w:rsidRPr="006016EA" w:rsidRDefault="006016EA" w:rsidP="006016EA">
            <w:pPr>
              <w:rPr>
                <w:rFonts w:cs="Arial"/>
                <w:sz w:val="16"/>
                <w:szCs w:val="16"/>
                <w:highlight w:val="lightGray"/>
              </w:rPr>
            </w:pPr>
            <w:r w:rsidRPr="006016EA">
              <w:rPr>
                <w:rFonts w:cs="Arial"/>
                <w:sz w:val="16"/>
                <w:szCs w:val="16"/>
                <w:highlight w:val="lightGray"/>
              </w:rPr>
              <w:t>0,603</w:t>
            </w:r>
          </w:p>
        </w:tc>
        <w:tc>
          <w:tcPr>
            <w:tcW w:w="1134" w:type="dxa"/>
            <w:noWrap/>
            <w:hideMark/>
          </w:tcPr>
          <w:p w14:paraId="0A515DE8" w14:textId="77777777" w:rsidR="006016EA" w:rsidRPr="006016EA" w:rsidRDefault="006016EA" w:rsidP="006016EA">
            <w:pPr>
              <w:rPr>
                <w:rFonts w:cs="Arial"/>
                <w:sz w:val="16"/>
                <w:szCs w:val="16"/>
              </w:rPr>
            </w:pPr>
            <w:r w:rsidRPr="006016EA">
              <w:rPr>
                <w:rFonts w:cs="Arial"/>
                <w:sz w:val="16"/>
                <w:szCs w:val="16"/>
              </w:rPr>
              <w:t>-0,139</w:t>
            </w:r>
          </w:p>
        </w:tc>
        <w:tc>
          <w:tcPr>
            <w:tcW w:w="1134" w:type="dxa"/>
            <w:noWrap/>
            <w:hideMark/>
          </w:tcPr>
          <w:p w14:paraId="6E8C3178" w14:textId="77777777" w:rsidR="006016EA" w:rsidRPr="006016EA" w:rsidRDefault="006016EA" w:rsidP="006016EA">
            <w:pPr>
              <w:rPr>
                <w:rFonts w:cs="Arial"/>
                <w:sz w:val="16"/>
                <w:szCs w:val="16"/>
              </w:rPr>
            </w:pPr>
            <w:r w:rsidRPr="006016EA">
              <w:rPr>
                <w:rFonts w:cs="Arial"/>
                <w:sz w:val="16"/>
                <w:szCs w:val="16"/>
              </w:rPr>
              <w:t>-0,006</w:t>
            </w:r>
          </w:p>
        </w:tc>
        <w:tc>
          <w:tcPr>
            <w:tcW w:w="993" w:type="dxa"/>
            <w:noWrap/>
            <w:hideMark/>
          </w:tcPr>
          <w:p w14:paraId="1352BE89" w14:textId="77777777" w:rsidR="006016EA" w:rsidRPr="006016EA" w:rsidRDefault="006016EA" w:rsidP="006016EA">
            <w:pPr>
              <w:rPr>
                <w:rFonts w:cs="Arial"/>
                <w:sz w:val="16"/>
                <w:szCs w:val="16"/>
              </w:rPr>
            </w:pPr>
            <w:r w:rsidRPr="006016EA">
              <w:rPr>
                <w:rFonts w:cs="Arial"/>
                <w:sz w:val="16"/>
                <w:szCs w:val="16"/>
              </w:rPr>
              <w:t>0,012</w:t>
            </w:r>
          </w:p>
        </w:tc>
      </w:tr>
      <w:tr w:rsidR="006016EA" w:rsidRPr="006016EA" w14:paraId="7DDB8C43" w14:textId="77777777" w:rsidTr="006016EA">
        <w:tc>
          <w:tcPr>
            <w:tcW w:w="1711" w:type="dxa"/>
            <w:noWrap/>
            <w:hideMark/>
          </w:tcPr>
          <w:p w14:paraId="689DE5C4" w14:textId="77777777" w:rsidR="006016EA" w:rsidRPr="006016EA" w:rsidRDefault="006016EA" w:rsidP="006016EA">
            <w:pPr>
              <w:rPr>
                <w:rFonts w:cs="Arial"/>
                <w:sz w:val="16"/>
                <w:szCs w:val="16"/>
              </w:rPr>
            </w:pPr>
            <w:proofErr w:type="spellStart"/>
            <w:r w:rsidRPr="006016EA">
              <w:rPr>
                <w:rFonts w:cs="Arial"/>
                <w:sz w:val="16"/>
                <w:szCs w:val="16"/>
              </w:rPr>
              <w:t>usable_area</w:t>
            </w:r>
            <w:proofErr w:type="spellEnd"/>
          </w:p>
        </w:tc>
        <w:tc>
          <w:tcPr>
            <w:tcW w:w="1124" w:type="dxa"/>
            <w:noWrap/>
            <w:hideMark/>
          </w:tcPr>
          <w:p w14:paraId="0C846F97" w14:textId="77777777" w:rsidR="006016EA" w:rsidRPr="006016EA" w:rsidRDefault="006016EA" w:rsidP="006016EA">
            <w:pPr>
              <w:rPr>
                <w:rFonts w:cs="Arial"/>
                <w:sz w:val="16"/>
                <w:szCs w:val="16"/>
              </w:rPr>
            </w:pPr>
            <w:r w:rsidRPr="006016EA">
              <w:rPr>
                <w:rFonts w:cs="Arial"/>
                <w:sz w:val="16"/>
                <w:szCs w:val="16"/>
              </w:rPr>
              <w:t>0,312</w:t>
            </w:r>
          </w:p>
        </w:tc>
        <w:tc>
          <w:tcPr>
            <w:tcW w:w="1134" w:type="dxa"/>
            <w:noWrap/>
            <w:hideMark/>
          </w:tcPr>
          <w:p w14:paraId="4FB9B019" w14:textId="77777777" w:rsidR="006016EA" w:rsidRPr="006016EA" w:rsidRDefault="006016EA" w:rsidP="006016EA">
            <w:pPr>
              <w:rPr>
                <w:rFonts w:cs="Arial"/>
                <w:sz w:val="16"/>
                <w:szCs w:val="16"/>
                <w:highlight w:val="lightGray"/>
              </w:rPr>
            </w:pPr>
            <w:r w:rsidRPr="006016EA">
              <w:rPr>
                <w:rFonts w:cs="Arial"/>
                <w:sz w:val="16"/>
                <w:szCs w:val="16"/>
                <w:highlight w:val="lightGray"/>
              </w:rPr>
              <w:t>0,502</w:t>
            </w:r>
          </w:p>
        </w:tc>
        <w:tc>
          <w:tcPr>
            <w:tcW w:w="1134" w:type="dxa"/>
            <w:noWrap/>
            <w:hideMark/>
          </w:tcPr>
          <w:p w14:paraId="21A58A6C" w14:textId="77777777" w:rsidR="006016EA" w:rsidRPr="006016EA" w:rsidRDefault="006016EA" w:rsidP="006016EA">
            <w:pPr>
              <w:rPr>
                <w:rFonts w:cs="Arial"/>
                <w:sz w:val="16"/>
                <w:szCs w:val="16"/>
              </w:rPr>
            </w:pPr>
            <w:r w:rsidRPr="006016EA">
              <w:rPr>
                <w:rFonts w:cs="Arial"/>
                <w:sz w:val="16"/>
                <w:szCs w:val="16"/>
              </w:rPr>
              <w:t>0,007</w:t>
            </w:r>
          </w:p>
        </w:tc>
        <w:tc>
          <w:tcPr>
            <w:tcW w:w="1134" w:type="dxa"/>
            <w:noWrap/>
            <w:hideMark/>
          </w:tcPr>
          <w:p w14:paraId="66BC14D1" w14:textId="77777777" w:rsidR="006016EA" w:rsidRPr="006016EA" w:rsidRDefault="006016EA" w:rsidP="006016EA">
            <w:pPr>
              <w:rPr>
                <w:rFonts w:cs="Arial"/>
                <w:sz w:val="16"/>
                <w:szCs w:val="16"/>
              </w:rPr>
            </w:pPr>
            <w:r w:rsidRPr="006016EA">
              <w:rPr>
                <w:rFonts w:cs="Arial"/>
                <w:sz w:val="16"/>
                <w:szCs w:val="16"/>
              </w:rPr>
              <w:t>-0,095</w:t>
            </w:r>
          </w:p>
        </w:tc>
        <w:tc>
          <w:tcPr>
            <w:tcW w:w="993" w:type="dxa"/>
            <w:noWrap/>
            <w:hideMark/>
          </w:tcPr>
          <w:p w14:paraId="58778FFC" w14:textId="77777777" w:rsidR="006016EA" w:rsidRPr="006016EA" w:rsidRDefault="006016EA" w:rsidP="006016EA">
            <w:pPr>
              <w:rPr>
                <w:rFonts w:cs="Arial"/>
                <w:sz w:val="16"/>
                <w:szCs w:val="16"/>
              </w:rPr>
            </w:pPr>
            <w:r w:rsidRPr="006016EA">
              <w:rPr>
                <w:rFonts w:cs="Arial"/>
                <w:sz w:val="16"/>
                <w:szCs w:val="16"/>
              </w:rPr>
              <w:t>0,041</w:t>
            </w:r>
          </w:p>
        </w:tc>
      </w:tr>
      <w:tr w:rsidR="006016EA" w:rsidRPr="006016EA" w14:paraId="2309AEAA" w14:textId="77777777" w:rsidTr="006016EA">
        <w:tc>
          <w:tcPr>
            <w:tcW w:w="1711" w:type="dxa"/>
            <w:noWrap/>
            <w:hideMark/>
          </w:tcPr>
          <w:p w14:paraId="6AA0DEBF" w14:textId="77777777" w:rsidR="006016EA" w:rsidRPr="006016EA" w:rsidRDefault="006016EA" w:rsidP="006016EA">
            <w:pPr>
              <w:rPr>
                <w:rFonts w:cs="Arial"/>
                <w:sz w:val="16"/>
                <w:szCs w:val="16"/>
              </w:rPr>
            </w:pPr>
            <w:proofErr w:type="spellStart"/>
            <w:r w:rsidRPr="006016EA">
              <w:rPr>
                <w:rFonts w:cs="Arial"/>
                <w:sz w:val="16"/>
                <w:szCs w:val="16"/>
              </w:rPr>
              <w:t>elect_cons</w:t>
            </w:r>
            <w:proofErr w:type="spellEnd"/>
          </w:p>
        </w:tc>
        <w:tc>
          <w:tcPr>
            <w:tcW w:w="1124" w:type="dxa"/>
            <w:noWrap/>
            <w:hideMark/>
          </w:tcPr>
          <w:p w14:paraId="388E41B2" w14:textId="77777777" w:rsidR="006016EA" w:rsidRPr="006016EA" w:rsidRDefault="006016EA" w:rsidP="006016EA">
            <w:pPr>
              <w:rPr>
                <w:rFonts w:cs="Arial"/>
                <w:sz w:val="16"/>
                <w:szCs w:val="16"/>
              </w:rPr>
            </w:pPr>
            <w:r w:rsidRPr="006016EA">
              <w:rPr>
                <w:rFonts w:cs="Arial"/>
                <w:sz w:val="16"/>
                <w:szCs w:val="16"/>
              </w:rPr>
              <w:t>0,351</w:t>
            </w:r>
          </w:p>
        </w:tc>
        <w:tc>
          <w:tcPr>
            <w:tcW w:w="1134" w:type="dxa"/>
            <w:noWrap/>
            <w:hideMark/>
          </w:tcPr>
          <w:p w14:paraId="447B0A41" w14:textId="77777777" w:rsidR="006016EA" w:rsidRPr="006016EA" w:rsidRDefault="006016EA" w:rsidP="006016EA">
            <w:pPr>
              <w:rPr>
                <w:rFonts w:cs="Arial"/>
                <w:sz w:val="16"/>
                <w:szCs w:val="16"/>
                <w:highlight w:val="lightGray"/>
              </w:rPr>
            </w:pPr>
            <w:r w:rsidRPr="006016EA">
              <w:rPr>
                <w:rFonts w:cs="Arial"/>
                <w:sz w:val="16"/>
                <w:szCs w:val="16"/>
                <w:highlight w:val="lightGray"/>
              </w:rPr>
              <w:t>0,428</w:t>
            </w:r>
          </w:p>
        </w:tc>
        <w:tc>
          <w:tcPr>
            <w:tcW w:w="1134" w:type="dxa"/>
            <w:noWrap/>
            <w:hideMark/>
          </w:tcPr>
          <w:p w14:paraId="3F45291E" w14:textId="77777777" w:rsidR="006016EA" w:rsidRPr="006016EA" w:rsidRDefault="006016EA" w:rsidP="006016EA">
            <w:pPr>
              <w:rPr>
                <w:rFonts w:cs="Arial"/>
                <w:sz w:val="16"/>
                <w:szCs w:val="16"/>
              </w:rPr>
            </w:pPr>
            <w:r w:rsidRPr="006016EA">
              <w:rPr>
                <w:rFonts w:cs="Arial"/>
                <w:sz w:val="16"/>
                <w:szCs w:val="16"/>
              </w:rPr>
              <w:t>0,209</w:t>
            </w:r>
          </w:p>
        </w:tc>
        <w:tc>
          <w:tcPr>
            <w:tcW w:w="1134" w:type="dxa"/>
            <w:noWrap/>
            <w:hideMark/>
          </w:tcPr>
          <w:p w14:paraId="5B474501" w14:textId="77777777" w:rsidR="006016EA" w:rsidRPr="006016EA" w:rsidRDefault="006016EA" w:rsidP="006016EA">
            <w:pPr>
              <w:rPr>
                <w:rFonts w:cs="Arial"/>
                <w:sz w:val="16"/>
                <w:szCs w:val="16"/>
              </w:rPr>
            </w:pPr>
            <w:r w:rsidRPr="006016EA">
              <w:rPr>
                <w:rFonts w:cs="Arial"/>
                <w:sz w:val="16"/>
                <w:szCs w:val="16"/>
              </w:rPr>
              <w:t>0,019</w:t>
            </w:r>
          </w:p>
        </w:tc>
        <w:tc>
          <w:tcPr>
            <w:tcW w:w="993" w:type="dxa"/>
            <w:noWrap/>
            <w:hideMark/>
          </w:tcPr>
          <w:p w14:paraId="582F20C9" w14:textId="77777777" w:rsidR="006016EA" w:rsidRPr="006016EA" w:rsidRDefault="006016EA" w:rsidP="006016EA">
            <w:pPr>
              <w:rPr>
                <w:rFonts w:cs="Arial"/>
                <w:sz w:val="16"/>
                <w:szCs w:val="16"/>
              </w:rPr>
            </w:pPr>
            <w:r w:rsidRPr="006016EA">
              <w:rPr>
                <w:rFonts w:cs="Arial"/>
                <w:sz w:val="16"/>
                <w:szCs w:val="16"/>
              </w:rPr>
              <w:t>0,040</w:t>
            </w:r>
          </w:p>
        </w:tc>
      </w:tr>
      <w:tr w:rsidR="006016EA" w:rsidRPr="006016EA" w14:paraId="2CB72C14" w14:textId="77777777" w:rsidTr="006016EA">
        <w:tc>
          <w:tcPr>
            <w:tcW w:w="1711" w:type="dxa"/>
            <w:noWrap/>
            <w:hideMark/>
          </w:tcPr>
          <w:p w14:paraId="457E7BF6" w14:textId="77777777" w:rsidR="006016EA" w:rsidRPr="006016EA" w:rsidRDefault="006016EA" w:rsidP="006016EA">
            <w:pPr>
              <w:rPr>
                <w:rFonts w:cs="Arial"/>
                <w:sz w:val="16"/>
                <w:szCs w:val="16"/>
              </w:rPr>
            </w:pPr>
            <w:proofErr w:type="spellStart"/>
            <w:r w:rsidRPr="006016EA">
              <w:rPr>
                <w:rFonts w:cs="Arial"/>
                <w:sz w:val="16"/>
                <w:szCs w:val="16"/>
              </w:rPr>
              <w:t>gas_cons</w:t>
            </w:r>
            <w:proofErr w:type="spellEnd"/>
          </w:p>
        </w:tc>
        <w:tc>
          <w:tcPr>
            <w:tcW w:w="1124" w:type="dxa"/>
            <w:noWrap/>
            <w:hideMark/>
          </w:tcPr>
          <w:p w14:paraId="20665BCB" w14:textId="77777777" w:rsidR="006016EA" w:rsidRPr="006016EA" w:rsidRDefault="006016EA" w:rsidP="006016EA">
            <w:pPr>
              <w:rPr>
                <w:rFonts w:cs="Arial"/>
                <w:sz w:val="16"/>
                <w:szCs w:val="16"/>
              </w:rPr>
            </w:pPr>
            <w:r w:rsidRPr="006016EA">
              <w:rPr>
                <w:rFonts w:cs="Arial"/>
                <w:sz w:val="16"/>
                <w:szCs w:val="16"/>
              </w:rPr>
              <w:t>0,395</w:t>
            </w:r>
          </w:p>
        </w:tc>
        <w:tc>
          <w:tcPr>
            <w:tcW w:w="1134" w:type="dxa"/>
            <w:noWrap/>
            <w:hideMark/>
          </w:tcPr>
          <w:p w14:paraId="11DC42E8" w14:textId="77777777" w:rsidR="006016EA" w:rsidRPr="006016EA" w:rsidRDefault="006016EA" w:rsidP="006016EA">
            <w:pPr>
              <w:rPr>
                <w:rFonts w:cs="Arial"/>
                <w:sz w:val="16"/>
                <w:szCs w:val="16"/>
                <w:highlight w:val="lightGray"/>
              </w:rPr>
            </w:pPr>
            <w:r w:rsidRPr="006016EA">
              <w:rPr>
                <w:rFonts w:cs="Arial"/>
                <w:sz w:val="16"/>
                <w:szCs w:val="16"/>
                <w:highlight w:val="lightGray"/>
              </w:rPr>
              <w:t>0,434</w:t>
            </w:r>
          </w:p>
        </w:tc>
        <w:tc>
          <w:tcPr>
            <w:tcW w:w="1134" w:type="dxa"/>
            <w:noWrap/>
            <w:hideMark/>
          </w:tcPr>
          <w:p w14:paraId="49FF6EAF" w14:textId="77777777" w:rsidR="006016EA" w:rsidRPr="006016EA" w:rsidRDefault="006016EA" w:rsidP="006016EA">
            <w:pPr>
              <w:rPr>
                <w:rFonts w:cs="Arial"/>
                <w:sz w:val="16"/>
                <w:szCs w:val="16"/>
              </w:rPr>
            </w:pPr>
            <w:r w:rsidRPr="006016EA">
              <w:rPr>
                <w:rFonts w:cs="Arial"/>
                <w:sz w:val="16"/>
                <w:szCs w:val="16"/>
              </w:rPr>
              <w:t>-0,015</w:t>
            </w:r>
          </w:p>
        </w:tc>
        <w:tc>
          <w:tcPr>
            <w:tcW w:w="1134" w:type="dxa"/>
            <w:noWrap/>
            <w:hideMark/>
          </w:tcPr>
          <w:p w14:paraId="67461673" w14:textId="77777777" w:rsidR="006016EA" w:rsidRPr="006016EA" w:rsidRDefault="006016EA" w:rsidP="006016EA">
            <w:pPr>
              <w:rPr>
                <w:rFonts w:cs="Arial"/>
                <w:sz w:val="16"/>
                <w:szCs w:val="16"/>
              </w:rPr>
            </w:pPr>
            <w:r w:rsidRPr="006016EA">
              <w:rPr>
                <w:rFonts w:cs="Arial"/>
                <w:sz w:val="16"/>
                <w:szCs w:val="16"/>
              </w:rPr>
              <w:t>-0,033</w:t>
            </w:r>
          </w:p>
        </w:tc>
        <w:tc>
          <w:tcPr>
            <w:tcW w:w="993" w:type="dxa"/>
            <w:noWrap/>
            <w:hideMark/>
          </w:tcPr>
          <w:p w14:paraId="06D822AE" w14:textId="77777777" w:rsidR="006016EA" w:rsidRPr="006016EA" w:rsidRDefault="006016EA" w:rsidP="006016EA">
            <w:pPr>
              <w:rPr>
                <w:rFonts w:cs="Arial"/>
                <w:sz w:val="16"/>
                <w:szCs w:val="16"/>
              </w:rPr>
            </w:pPr>
            <w:r w:rsidRPr="006016EA">
              <w:rPr>
                <w:rFonts w:cs="Arial"/>
                <w:sz w:val="16"/>
                <w:szCs w:val="16"/>
                <w:highlight w:val="lightGray"/>
              </w:rPr>
              <w:t>0,399</w:t>
            </w:r>
          </w:p>
        </w:tc>
      </w:tr>
      <w:tr w:rsidR="006016EA" w:rsidRPr="006016EA" w14:paraId="0FA1420D" w14:textId="77777777" w:rsidTr="006016EA">
        <w:tc>
          <w:tcPr>
            <w:tcW w:w="1711" w:type="dxa"/>
            <w:noWrap/>
            <w:hideMark/>
          </w:tcPr>
          <w:p w14:paraId="0A22BDF5" w14:textId="77777777" w:rsidR="006016EA" w:rsidRPr="006016EA" w:rsidRDefault="006016EA" w:rsidP="006016EA">
            <w:pPr>
              <w:rPr>
                <w:rFonts w:cs="Arial"/>
                <w:sz w:val="16"/>
                <w:szCs w:val="16"/>
              </w:rPr>
            </w:pPr>
            <w:proofErr w:type="spellStart"/>
            <w:r w:rsidRPr="006016EA">
              <w:rPr>
                <w:rFonts w:cs="Arial"/>
                <w:sz w:val="16"/>
                <w:szCs w:val="16"/>
              </w:rPr>
              <w:t>soc_cohesion</w:t>
            </w:r>
            <w:proofErr w:type="spellEnd"/>
          </w:p>
        </w:tc>
        <w:tc>
          <w:tcPr>
            <w:tcW w:w="1124" w:type="dxa"/>
            <w:noWrap/>
            <w:hideMark/>
          </w:tcPr>
          <w:p w14:paraId="71DE0670" w14:textId="77777777" w:rsidR="006016EA" w:rsidRPr="006016EA" w:rsidRDefault="006016EA" w:rsidP="006016EA">
            <w:pPr>
              <w:rPr>
                <w:rFonts w:cs="Arial"/>
                <w:sz w:val="16"/>
                <w:szCs w:val="16"/>
                <w:highlight w:val="lightGray"/>
              </w:rPr>
            </w:pPr>
            <w:r w:rsidRPr="006016EA">
              <w:rPr>
                <w:rFonts w:cs="Arial"/>
                <w:sz w:val="16"/>
                <w:szCs w:val="16"/>
                <w:highlight w:val="lightGray"/>
              </w:rPr>
              <w:t>0,849</w:t>
            </w:r>
          </w:p>
        </w:tc>
        <w:tc>
          <w:tcPr>
            <w:tcW w:w="1134" w:type="dxa"/>
            <w:noWrap/>
            <w:hideMark/>
          </w:tcPr>
          <w:p w14:paraId="6DA9FDDB" w14:textId="77777777" w:rsidR="006016EA" w:rsidRPr="006016EA" w:rsidRDefault="006016EA" w:rsidP="006016EA">
            <w:pPr>
              <w:rPr>
                <w:rFonts w:cs="Arial"/>
                <w:sz w:val="16"/>
                <w:szCs w:val="16"/>
              </w:rPr>
            </w:pPr>
            <w:r w:rsidRPr="006016EA">
              <w:rPr>
                <w:rFonts w:cs="Arial"/>
                <w:sz w:val="16"/>
                <w:szCs w:val="16"/>
              </w:rPr>
              <w:t>0,166</w:t>
            </w:r>
          </w:p>
        </w:tc>
        <w:tc>
          <w:tcPr>
            <w:tcW w:w="1134" w:type="dxa"/>
            <w:noWrap/>
            <w:hideMark/>
          </w:tcPr>
          <w:p w14:paraId="2D7CAE79" w14:textId="77777777" w:rsidR="006016EA" w:rsidRPr="006016EA" w:rsidRDefault="006016EA" w:rsidP="006016EA">
            <w:pPr>
              <w:rPr>
                <w:rFonts w:cs="Arial"/>
                <w:sz w:val="16"/>
                <w:szCs w:val="16"/>
              </w:rPr>
            </w:pPr>
            <w:r w:rsidRPr="006016EA">
              <w:rPr>
                <w:rFonts w:cs="Arial"/>
                <w:sz w:val="16"/>
                <w:szCs w:val="16"/>
              </w:rPr>
              <w:t>-0,077</w:t>
            </w:r>
          </w:p>
        </w:tc>
        <w:tc>
          <w:tcPr>
            <w:tcW w:w="1134" w:type="dxa"/>
            <w:noWrap/>
            <w:hideMark/>
          </w:tcPr>
          <w:p w14:paraId="233E31CC" w14:textId="77777777" w:rsidR="006016EA" w:rsidRPr="006016EA" w:rsidRDefault="006016EA" w:rsidP="006016EA">
            <w:pPr>
              <w:rPr>
                <w:rFonts w:cs="Arial"/>
                <w:sz w:val="16"/>
                <w:szCs w:val="16"/>
              </w:rPr>
            </w:pPr>
            <w:r w:rsidRPr="006016EA">
              <w:rPr>
                <w:rFonts w:cs="Arial"/>
                <w:sz w:val="16"/>
                <w:szCs w:val="16"/>
              </w:rPr>
              <w:t>-0,092</w:t>
            </w:r>
          </w:p>
        </w:tc>
        <w:tc>
          <w:tcPr>
            <w:tcW w:w="993" w:type="dxa"/>
            <w:noWrap/>
            <w:hideMark/>
          </w:tcPr>
          <w:p w14:paraId="240930C9" w14:textId="77777777" w:rsidR="006016EA" w:rsidRPr="006016EA" w:rsidRDefault="006016EA" w:rsidP="006016EA">
            <w:pPr>
              <w:rPr>
                <w:rFonts w:cs="Arial"/>
                <w:sz w:val="16"/>
                <w:szCs w:val="16"/>
              </w:rPr>
            </w:pPr>
            <w:r w:rsidRPr="006016EA">
              <w:rPr>
                <w:rFonts w:cs="Arial"/>
                <w:sz w:val="16"/>
                <w:szCs w:val="16"/>
              </w:rPr>
              <w:t>-0,138</w:t>
            </w:r>
          </w:p>
        </w:tc>
      </w:tr>
      <w:tr w:rsidR="006016EA" w:rsidRPr="006016EA" w14:paraId="39D1C549" w14:textId="77777777" w:rsidTr="006016EA">
        <w:tc>
          <w:tcPr>
            <w:tcW w:w="1711" w:type="dxa"/>
            <w:noWrap/>
            <w:hideMark/>
          </w:tcPr>
          <w:p w14:paraId="386F9496" w14:textId="77777777" w:rsidR="006016EA" w:rsidRPr="006016EA" w:rsidRDefault="006016EA" w:rsidP="006016EA">
            <w:pPr>
              <w:rPr>
                <w:rFonts w:cs="Arial"/>
                <w:sz w:val="16"/>
                <w:szCs w:val="16"/>
              </w:rPr>
            </w:pPr>
            <w:proofErr w:type="spellStart"/>
            <w:r w:rsidRPr="006016EA">
              <w:rPr>
                <w:rFonts w:cs="Arial"/>
                <w:sz w:val="16"/>
                <w:szCs w:val="16"/>
              </w:rPr>
              <w:t>insecurity</w:t>
            </w:r>
            <w:proofErr w:type="spellEnd"/>
          </w:p>
        </w:tc>
        <w:tc>
          <w:tcPr>
            <w:tcW w:w="1124" w:type="dxa"/>
            <w:noWrap/>
            <w:hideMark/>
          </w:tcPr>
          <w:p w14:paraId="2BA40A3F" w14:textId="77777777" w:rsidR="006016EA" w:rsidRPr="006016EA" w:rsidRDefault="006016EA" w:rsidP="006016EA">
            <w:pPr>
              <w:rPr>
                <w:rFonts w:cs="Arial"/>
                <w:sz w:val="16"/>
                <w:szCs w:val="16"/>
                <w:highlight w:val="lightGray"/>
              </w:rPr>
            </w:pPr>
            <w:r w:rsidRPr="006016EA">
              <w:rPr>
                <w:rFonts w:cs="Arial"/>
                <w:sz w:val="16"/>
                <w:szCs w:val="16"/>
                <w:highlight w:val="lightGray"/>
              </w:rPr>
              <w:t>0,737</w:t>
            </w:r>
          </w:p>
        </w:tc>
        <w:tc>
          <w:tcPr>
            <w:tcW w:w="1134" w:type="dxa"/>
            <w:noWrap/>
            <w:hideMark/>
          </w:tcPr>
          <w:p w14:paraId="4F29DEDD" w14:textId="77777777" w:rsidR="006016EA" w:rsidRPr="006016EA" w:rsidRDefault="006016EA" w:rsidP="006016EA">
            <w:pPr>
              <w:rPr>
                <w:rFonts w:cs="Arial"/>
                <w:sz w:val="16"/>
                <w:szCs w:val="16"/>
              </w:rPr>
            </w:pPr>
            <w:r w:rsidRPr="006016EA">
              <w:rPr>
                <w:rFonts w:cs="Arial"/>
                <w:sz w:val="16"/>
                <w:szCs w:val="16"/>
              </w:rPr>
              <w:t>0,114</w:t>
            </w:r>
          </w:p>
        </w:tc>
        <w:tc>
          <w:tcPr>
            <w:tcW w:w="1134" w:type="dxa"/>
            <w:noWrap/>
            <w:hideMark/>
          </w:tcPr>
          <w:p w14:paraId="1457A52C" w14:textId="77777777" w:rsidR="006016EA" w:rsidRPr="006016EA" w:rsidRDefault="006016EA" w:rsidP="006016EA">
            <w:pPr>
              <w:rPr>
                <w:rFonts w:cs="Arial"/>
                <w:sz w:val="16"/>
                <w:szCs w:val="16"/>
              </w:rPr>
            </w:pPr>
            <w:r w:rsidRPr="006016EA">
              <w:rPr>
                <w:rFonts w:cs="Arial"/>
                <w:sz w:val="16"/>
                <w:szCs w:val="16"/>
              </w:rPr>
              <w:t>-0,083</w:t>
            </w:r>
          </w:p>
        </w:tc>
        <w:tc>
          <w:tcPr>
            <w:tcW w:w="1134" w:type="dxa"/>
            <w:noWrap/>
            <w:hideMark/>
          </w:tcPr>
          <w:p w14:paraId="01683725" w14:textId="77777777" w:rsidR="006016EA" w:rsidRPr="006016EA" w:rsidRDefault="006016EA" w:rsidP="006016EA">
            <w:pPr>
              <w:rPr>
                <w:rFonts w:cs="Arial"/>
                <w:sz w:val="16"/>
                <w:szCs w:val="16"/>
              </w:rPr>
            </w:pPr>
            <w:r w:rsidRPr="006016EA">
              <w:rPr>
                <w:rFonts w:cs="Arial"/>
                <w:sz w:val="16"/>
                <w:szCs w:val="16"/>
              </w:rPr>
              <w:t>-0,108</w:t>
            </w:r>
          </w:p>
        </w:tc>
        <w:tc>
          <w:tcPr>
            <w:tcW w:w="993" w:type="dxa"/>
            <w:noWrap/>
            <w:hideMark/>
          </w:tcPr>
          <w:p w14:paraId="161835B9" w14:textId="77777777" w:rsidR="006016EA" w:rsidRPr="006016EA" w:rsidRDefault="006016EA" w:rsidP="006016EA">
            <w:pPr>
              <w:rPr>
                <w:rFonts w:cs="Arial"/>
                <w:sz w:val="16"/>
                <w:szCs w:val="16"/>
              </w:rPr>
            </w:pPr>
            <w:r w:rsidRPr="006016EA">
              <w:rPr>
                <w:rFonts w:cs="Arial"/>
                <w:sz w:val="16"/>
                <w:szCs w:val="16"/>
              </w:rPr>
              <w:t>-0,071</w:t>
            </w:r>
          </w:p>
        </w:tc>
      </w:tr>
      <w:tr w:rsidR="006016EA" w:rsidRPr="006016EA" w14:paraId="78AA8DB3" w14:textId="77777777" w:rsidTr="006016EA">
        <w:tc>
          <w:tcPr>
            <w:tcW w:w="1711" w:type="dxa"/>
            <w:noWrap/>
            <w:hideMark/>
          </w:tcPr>
          <w:p w14:paraId="3F8A6703" w14:textId="77777777" w:rsidR="006016EA" w:rsidRPr="006016EA" w:rsidRDefault="006016EA" w:rsidP="006016EA">
            <w:pPr>
              <w:rPr>
                <w:rFonts w:cs="Arial"/>
                <w:sz w:val="16"/>
                <w:szCs w:val="16"/>
              </w:rPr>
            </w:pPr>
            <w:proofErr w:type="spellStart"/>
            <w:r w:rsidRPr="006016EA">
              <w:rPr>
                <w:rFonts w:cs="Arial"/>
                <w:sz w:val="16"/>
                <w:szCs w:val="16"/>
              </w:rPr>
              <w:t>age</w:t>
            </w:r>
            <w:proofErr w:type="spellEnd"/>
          </w:p>
        </w:tc>
        <w:tc>
          <w:tcPr>
            <w:tcW w:w="1124" w:type="dxa"/>
            <w:noWrap/>
            <w:hideMark/>
          </w:tcPr>
          <w:p w14:paraId="3B9EA606" w14:textId="77777777" w:rsidR="006016EA" w:rsidRPr="006016EA" w:rsidRDefault="006016EA" w:rsidP="006016EA">
            <w:pPr>
              <w:rPr>
                <w:rFonts w:cs="Arial"/>
                <w:sz w:val="16"/>
                <w:szCs w:val="16"/>
              </w:rPr>
            </w:pPr>
            <w:r w:rsidRPr="006016EA">
              <w:rPr>
                <w:rFonts w:cs="Arial"/>
                <w:sz w:val="16"/>
                <w:szCs w:val="16"/>
              </w:rPr>
              <w:t>0,059</w:t>
            </w:r>
          </w:p>
        </w:tc>
        <w:tc>
          <w:tcPr>
            <w:tcW w:w="1134" w:type="dxa"/>
            <w:noWrap/>
            <w:hideMark/>
          </w:tcPr>
          <w:p w14:paraId="5053F60A" w14:textId="77777777" w:rsidR="006016EA" w:rsidRPr="006016EA" w:rsidRDefault="006016EA" w:rsidP="006016EA">
            <w:pPr>
              <w:rPr>
                <w:rFonts w:cs="Arial"/>
                <w:sz w:val="16"/>
                <w:szCs w:val="16"/>
              </w:rPr>
            </w:pPr>
            <w:r w:rsidRPr="006016EA">
              <w:rPr>
                <w:rFonts w:cs="Arial"/>
                <w:sz w:val="16"/>
                <w:szCs w:val="16"/>
              </w:rPr>
              <w:t>0,127</w:t>
            </w:r>
          </w:p>
        </w:tc>
        <w:tc>
          <w:tcPr>
            <w:tcW w:w="1134" w:type="dxa"/>
            <w:noWrap/>
            <w:hideMark/>
          </w:tcPr>
          <w:p w14:paraId="4012D0DF" w14:textId="77777777" w:rsidR="006016EA" w:rsidRPr="006016EA" w:rsidRDefault="006016EA" w:rsidP="006016EA">
            <w:pPr>
              <w:rPr>
                <w:rFonts w:cs="Arial"/>
                <w:sz w:val="16"/>
                <w:szCs w:val="16"/>
              </w:rPr>
            </w:pPr>
            <w:r w:rsidRPr="006016EA">
              <w:rPr>
                <w:rFonts w:cs="Arial"/>
                <w:sz w:val="16"/>
                <w:szCs w:val="16"/>
              </w:rPr>
              <w:t>-0,835</w:t>
            </w:r>
          </w:p>
        </w:tc>
        <w:tc>
          <w:tcPr>
            <w:tcW w:w="1134" w:type="dxa"/>
            <w:noWrap/>
            <w:hideMark/>
          </w:tcPr>
          <w:p w14:paraId="2CE3E2CA" w14:textId="77777777" w:rsidR="006016EA" w:rsidRPr="006016EA" w:rsidRDefault="006016EA" w:rsidP="006016EA">
            <w:pPr>
              <w:rPr>
                <w:rFonts w:cs="Arial"/>
                <w:sz w:val="16"/>
                <w:szCs w:val="16"/>
              </w:rPr>
            </w:pPr>
            <w:r w:rsidRPr="006016EA">
              <w:rPr>
                <w:rFonts w:cs="Arial"/>
                <w:sz w:val="16"/>
                <w:szCs w:val="16"/>
              </w:rPr>
              <w:t>-0,096</w:t>
            </w:r>
          </w:p>
        </w:tc>
        <w:tc>
          <w:tcPr>
            <w:tcW w:w="993" w:type="dxa"/>
            <w:noWrap/>
            <w:hideMark/>
          </w:tcPr>
          <w:p w14:paraId="3D8028D0" w14:textId="77777777" w:rsidR="006016EA" w:rsidRPr="006016EA" w:rsidRDefault="006016EA" w:rsidP="006016EA">
            <w:pPr>
              <w:rPr>
                <w:rFonts w:cs="Arial"/>
                <w:sz w:val="16"/>
                <w:szCs w:val="16"/>
              </w:rPr>
            </w:pPr>
            <w:r w:rsidRPr="006016EA">
              <w:rPr>
                <w:rFonts w:cs="Arial"/>
                <w:sz w:val="16"/>
                <w:szCs w:val="16"/>
              </w:rPr>
              <w:t>0,150</w:t>
            </w:r>
          </w:p>
        </w:tc>
      </w:tr>
      <w:tr w:rsidR="006016EA" w:rsidRPr="006016EA" w14:paraId="511BC95C" w14:textId="77777777" w:rsidTr="006016EA">
        <w:tc>
          <w:tcPr>
            <w:tcW w:w="1711" w:type="dxa"/>
            <w:noWrap/>
            <w:hideMark/>
          </w:tcPr>
          <w:p w14:paraId="420AF993" w14:textId="77777777" w:rsidR="006016EA" w:rsidRPr="006016EA" w:rsidRDefault="006016EA" w:rsidP="006016EA">
            <w:pPr>
              <w:rPr>
                <w:rFonts w:cs="Arial"/>
                <w:sz w:val="16"/>
                <w:szCs w:val="16"/>
              </w:rPr>
            </w:pPr>
            <w:proofErr w:type="spellStart"/>
            <w:r w:rsidRPr="006016EA">
              <w:rPr>
                <w:rFonts w:cs="Arial"/>
                <w:sz w:val="16"/>
                <w:szCs w:val="16"/>
              </w:rPr>
              <w:t>education</w:t>
            </w:r>
            <w:proofErr w:type="spellEnd"/>
          </w:p>
        </w:tc>
        <w:tc>
          <w:tcPr>
            <w:tcW w:w="1124" w:type="dxa"/>
            <w:noWrap/>
            <w:hideMark/>
          </w:tcPr>
          <w:p w14:paraId="3A154575" w14:textId="77777777" w:rsidR="006016EA" w:rsidRPr="006016EA" w:rsidRDefault="006016EA" w:rsidP="006016EA">
            <w:pPr>
              <w:rPr>
                <w:rFonts w:cs="Arial"/>
                <w:sz w:val="16"/>
                <w:szCs w:val="16"/>
              </w:rPr>
            </w:pPr>
            <w:r w:rsidRPr="006016EA">
              <w:rPr>
                <w:rFonts w:cs="Arial"/>
                <w:sz w:val="16"/>
                <w:szCs w:val="16"/>
              </w:rPr>
              <w:t>-0,144</w:t>
            </w:r>
          </w:p>
        </w:tc>
        <w:tc>
          <w:tcPr>
            <w:tcW w:w="1134" w:type="dxa"/>
            <w:noWrap/>
            <w:hideMark/>
          </w:tcPr>
          <w:p w14:paraId="5D16772A" w14:textId="77777777" w:rsidR="006016EA" w:rsidRPr="006016EA" w:rsidRDefault="006016EA" w:rsidP="006016EA">
            <w:pPr>
              <w:rPr>
                <w:rFonts w:cs="Arial"/>
                <w:sz w:val="16"/>
                <w:szCs w:val="16"/>
              </w:rPr>
            </w:pPr>
            <w:r w:rsidRPr="006016EA">
              <w:rPr>
                <w:rFonts w:cs="Arial"/>
                <w:sz w:val="16"/>
                <w:szCs w:val="16"/>
              </w:rPr>
              <w:t>0,223</w:t>
            </w:r>
          </w:p>
        </w:tc>
        <w:tc>
          <w:tcPr>
            <w:tcW w:w="1134" w:type="dxa"/>
            <w:noWrap/>
            <w:hideMark/>
          </w:tcPr>
          <w:p w14:paraId="41E6620C" w14:textId="77777777" w:rsidR="006016EA" w:rsidRPr="006016EA" w:rsidRDefault="006016EA" w:rsidP="006016EA">
            <w:pPr>
              <w:rPr>
                <w:rFonts w:cs="Arial"/>
                <w:sz w:val="16"/>
                <w:szCs w:val="16"/>
              </w:rPr>
            </w:pPr>
            <w:r w:rsidRPr="006016EA">
              <w:rPr>
                <w:rFonts w:cs="Arial"/>
                <w:sz w:val="16"/>
                <w:szCs w:val="16"/>
                <w:highlight w:val="lightGray"/>
              </w:rPr>
              <w:t>0,394</w:t>
            </w:r>
          </w:p>
        </w:tc>
        <w:tc>
          <w:tcPr>
            <w:tcW w:w="1134" w:type="dxa"/>
            <w:noWrap/>
            <w:hideMark/>
          </w:tcPr>
          <w:p w14:paraId="3E4C2D64" w14:textId="77777777" w:rsidR="006016EA" w:rsidRPr="006016EA" w:rsidRDefault="006016EA" w:rsidP="006016EA">
            <w:pPr>
              <w:rPr>
                <w:rFonts w:cs="Arial"/>
                <w:sz w:val="16"/>
                <w:szCs w:val="16"/>
              </w:rPr>
            </w:pPr>
            <w:r w:rsidRPr="006016EA">
              <w:rPr>
                <w:rFonts w:cs="Arial"/>
                <w:sz w:val="16"/>
                <w:szCs w:val="16"/>
              </w:rPr>
              <w:t>-0,036</w:t>
            </w:r>
          </w:p>
        </w:tc>
        <w:tc>
          <w:tcPr>
            <w:tcW w:w="993" w:type="dxa"/>
            <w:noWrap/>
            <w:hideMark/>
          </w:tcPr>
          <w:p w14:paraId="0B7636AA" w14:textId="77777777" w:rsidR="006016EA" w:rsidRPr="006016EA" w:rsidRDefault="006016EA" w:rsidP="006016EA">
            <w:pPr>
              <w:rPr>
                <w:rFonts w:cs="Arial"/>
                <w:sz w:val="16"/>
                <w:szCs w:val="16"/>
              </w:rPr>
            </w:pPr>
            <w:r w:rsidRPr="006016EA">
              <w:rPr>
                <w:rFonts w:cs="Arial"/>
                <w:sz w:val="16"/>
                <w:szCs w:val="16"/>
              </w:rPr>
              <w:t>-0,084</w:t>
            </w:r>
          </w:p>
        </w:tc>
      </w:tr>
      <w:tr w:rsidR="006016EA" w:rsidRPr="006016EA" w14:paraId="7A677A3F" w14:textId="77777777" w:rsidTr="006016EA">
        <w:tc>
          <w:tcPr>
            <w:tcW w:w="1711" w:type="dxa"/>
            <w:noWrap/>
            <w:hideMark/>
          </w:tcPr>
          <w:p w14:paraId="3208B1B4" w14:textId="77777777" w:rsidR="006016EA" w:rsidRPr="006016EA" w:rsidRDefault="006016EA" w:rsidP="006016EA">
            <w:pPr>
              <w:rPr>
                <w:rFonts w:cs="Arial"/>
                <w:sz w:val="16"/>
                <w:szCs w:val="16"/>
              </w:rPr>
            </w:pPr>
            <w:proofErr w:type="spellStart"/>
            <w:r w:rsidRPr="006016EA">
              <w:rPr>
                <w:rFonts w:cs="Arial"/>
                <w:sz w:val="16"/>
                <w:szCs w:val="16"/>
              </w:rPr>
              <w:t>hh_size</w:t>
            </w:r>
            <w:proofErr w:type="spellEnd"/>
          </w:p>
        </w:tc>
        <w:tc>
          <w:tcPr>
            <w:tcW w:w="1124" w:type="dxa"/>
            <w:noWrap/>
            <w:hideMark/>
          </w:tcPr>
          <w:p w14:paraId="129613B8" w14:textId="77777777" w:rsidR="006016EA" w:rsidRPr="006016EA" w:rsidRDefault="006016EA" w:rsidP="006016EA">
            <w:pPr>
              <w:rPr>
                <w:rFonts w:cs="Arial"/>
                <w:sz w:val="16"/>
                <w:szCs w:val="16"/>
              </w:rPr>
            </w:pPr>
            <w:r w:rsidRPr="006016EA">
              <w:rPr>
                <w:rFonts w:cs="Arial"/>
                <w:sz w:val="16"/>
                <w:szCs w:val="16"/>
              </w:rPr>
              <w:t>0,230</w:t>
            </w:r>
          </w:p>
        </w:tc>
        <w:tc>
          <w:tcPr>
            <w:tcW w:w="1134" w:type="dxa"/>
            <w:noWrap/>
            <w:hideMark/>
          </w:tcPr>
          <w:p w14:paraId="227F3EB4" w14:textId="77777777" w:rsidR="006016EA" w:rsidRPr="006016EA" w:rsidRDefault="006016EA" w:rsidP="006016EA">
            <w:pPr>
              <w:rPr>
                <w:rFonts w:cs="Arial"/>
                <w:sz w:val="16"/>
                <w:szCs w:val="16"/>
              </w:rPr>
            </w:pPr>
            <w:r w:rsidRPr="006016EA">
              <w:rPr>
                <w:rFonts w:cs="Arial"/>
                <w:sz w:val="16"/>
                <w:szCs w:val="16"/>
              </w:rPr>
              <w:t>0,179</w:t>
            </w:r>
          </w:p>
        </w:tc>
        <w:tc>
          <w:tcPr>
            <w:tcW w:w="1134" w:type="dxa"/>
            <w:noWrap/>
            <w:hideMark/>
          </w:tcPr>
          <w:p w14:paraId="06955676" w14:textId="77777777" w:rsidR="006016EA" w:rsidRPr="006016EA" w:rsidRDefault="006016EA" w:rsidP="006016EA">
            <w:pPr>
              <w:rPr>
                <w:rFonts w:cs="Arial"/>
                <w:sz w:val="16"/>
                <w:szCs w:val="16"/>
                <w:highlight w:val="lightGray"/>
              </w:rPr>
            </w:pPr>
            <w:r w:rsidRPr="006016EA">
              <w:rPr>
                <w:rFonts w:cs="Arial"/>
                <w:sz w:val="16"/>
                <w:szCs w:val="16"/>
                <w:highlight w:val="lightGray"/>
              </w:rPr>
              <w:t>0,568</w:t>
            </w:r>
          </w:p>
        </w:tc>
        <w:tc>
          <w:tcPr>
            <w:tcW w:w="1134" w:type="dxa"/>
            <w:noWrap/>
            <w:hideMark/>
          </w:tcPr>
          <w:p w14:paraId="2A22A2E4" w14:textId="77777777" w:rsidR="006016EA" w:rsidRPr="006016EA" w:rsidRDefault="006016EA" w:rsidP="006016EA">
            <w:pPr>
              <w:rPr>
                <w:rFonts w:cs="Arial"/>
                <w:sz w:val="16"/>
                <w:szCs w:val="16"/>
              </w:rPr>
            </w:pPr>
            <w:r w:rsidRPr="006016EA">
              <w:rPr>
                <w:rFonts w:cs="Arial"/>
                <w:sz w:val="16"/>
                <w:szCs w:val="16"/>
              </w:rPr>
              <w:t>-0,165</w:t>
            </w:r>
          </w:p>
        </w:tc>
        <w:tc>
          <w:tcPr>
            <w:tcW w:w="993" w:type="dxa"/>
            <w:noWrap/>
            <w:hideMark/>
          </w:tcPr>
          <w:p w14:paraId="0DCFDD3F" w14:textId="77777777" w:rsidR="006016EA" w:rsidRPr="006016EA" w:rsidRDefault="006016EA" w:rsidP="006016EA">
            <w:pPr>
              <w:rPr>
                <w:rFonts w:cs="Arial"/>
                <w:sz w:val="16"/>
                <w:szCs w:val="16"/>
              </w:rPr>
            </w:pPr>
            <w:r w:rsidRPr="006016EA">
              <w:rPr>
                <w:rFonts w:cs="Arial"/>
                <w:sz w:val="16"/>
                <w:szCs w:val="16"/>
              </w:rPr>
              <w:t>0,022</w:t>
            </w:r>
          </w:p>
        </w:tc>
      </w:tr>
      <w:tr w:rsidR="006016EA" w:rsidRPr="006016EA" w14:paraId="68A164FD" w14:textId="77777777" w:rsidTr="006016EA">
        <w:tc>
          <w:tcPr>
            <w:tcW w:w="1711" w:type="dxa"/>
            <w:noWrap/>
            <w:hideMark/>
          </w:tcPr>
          <w:p w14:paraId="6EC9C436" w14:textId="77777777" w:rsidR="006016EA" w:rsidRPr="006016EA" w:rsidRDefault="006016EA" w:rsidP="006016EA">
            <w:pPr>
              <w:rPr>
                <w:rFonts w:cs="Arial"/>
                <w:sz w:val="16"/>
                <w:szCs w:val="16"/>
              </w:rPr>
            </w:pPr>
            <w:proofErr w:type="spellStart"/>
            <w:r w:rsidRPr="006016EA">
              <w:rPr>
                <w:rFonts w:cs="Arial"/>
                <w:sz w:val="16"/>
                <w:szCs w:val="16"/>
              </w:rPr>
              <w:t>willing_inv_ord</w:t>
            </w:r>
            <w:proofErr w:type="spellEnd"/>
          </w:p>
        </w:tc>
        <w:tc>
          <w:tcPr>
            <w:tcW w:w="1124" w:type="dxa"/>
            <w:noWrap/>
            <w:hideMark/>
          </w:tcPr>
          <w:p w14:paraId="4D79393D" w14:textId="77777777" w:rsidR="006016EA" w:rsidRPr="006016EA" w:rsidRDefault="006016EA" w:rsidP="006016EA">
            <w:pPr>
              <w:rPr>
                <w:rFonts w:cs="Arial"/>
                <w:sz w:val="16"/>
                <w:szCs w:val="16"/>
              </w:rPr>
            </w:pPr>
            <w:r w:rsidRPr="006016EA">
              <w:rPr>
                <w:rFonts w:cs="Arial"/>
                <w:sz w:val="16"/>
                <w:szCs w:val="16"/>
              </w:rPr>
              <w:t>-0,066</w:t>
            </w:r>
          </w:p>
        </w:tc>
        <w:tc>
          <w:tcPr>
            <w:tcW w:w="1134" w:type="dxa"/>
            <w:noWrap/>
            <w:hideMark/>
          </w:tcPr>
          <w:p w14:paraId="3E95A91C" w14:textId="77777777" w:rsidR="006016EA" w:rsidRPr="006016EA" w:rsidRDefault="006016EA" w:rsidP="006016EA">
            <w:pPr>
              <w:rPr>
                <w:rFonts w:cs="Arial"/>
                <w:sz w:val="16"/>
                <w:szCs w:val="16"/>
              </w:rPr>
            </w:pPr>
            <w:r w:rsidRPr="006016EA">
              <w:rPr>
                <w:rFonts w:cs="Arial"/>
                <w:sz w:val="16"/>
                <w:szCs w:val="16"/>
              </w:rPr>
              <w:t>0,105</w:t>
            </w:r>
          </w:p>
        </w:tc>
        <w:tc>
          <w:tcPr>
            <w:tcW w:w="1134" w:type="dxa"/>
            <w:noWrap/>
            <w:hideMark/>
          </w:tcPr>
          <w:p w14:paraId="0E8569BF" w14:textId="77777777" w:rsidR="006016EA" w:rsidRPr="006016EA" w:rsidRDefault="006016EA" w:rsidP="006016EA">
            <w:pPr>
              <w:rPr>
                <w:rFonts w:cs="Arial"/>
                <w:sz w:val="16"/>
                <w:szCs w:val="16"/>
                <w:highlight w:val="lightGray"/>
              </w:rPr>
            </w:pPr>
            <w:r w:rsidRPr="006016EA">
              <w:rPr>
                <w:rFonts w:cs="Arial"/>
                <w:sz w:val="16"/>
                <w:szCs w:val="16"/>
                <w:highlight w:val="lightGray"/>
              </w:rPr>
              <w:t>0,408</w:t>
            </w:r>
          </w:p>
        </w:tc>
        <w:tc>
          <w:tcPr>
            <w:tcW w:w="1134" w:type="dxa"/>
            <w:noWrap/>
            <w:hideMark/>
          </w:tcPr>
          <w:p w14:paraId="2F367E4F" w14:textId="77777777" w:rsidR="006016EA" w:rsidRPr="006016EA" w:rsidRDefault="006016EA" w:rsidP="006016EA">
            <w:pPr>
              <w:rPr>
                <w:rFonts w:cs="Arial"/>
                <w:sz w:val="16"/>
                <w:szCs w:val="16"/>
              </w:rPr>
            </w:pPr>
            <w:r w:rsidRPr="006016EA">
              <w:rPr>
                <w:rFonts w:cs="Arial"/>
                <w:sz w:val="16"/>
                <w:szCs w:val="16"/>
              </w:rPr>
              <w:t>-0,106</w:t>
            </w:r>
          </w:p>
        </w:tc>
        <w:tc>
          <w:tcPr>
            <w:tcW w:w="993" w:type="dxa"/>
            <w:noWrap/>
            <w:hideMark/>
          </w:tcPr>
          <w:p w14:paraId="58985FD5" w14:textId="77777777" w:rsidR="006016EA" w:rsidRPr="006016EA" w:rsidRDefault="006016EA" w:rsidP="006016EA">
            <w:pPr>
              <w:rPr>
                <w:rFonts w:cs="Arial"/>
                <w:sz w:val="16"/>
                <w:szCs w:val="16"/>
              </w:rPr>
            </w:pPr>
            <w:r w:rsidRPr="006016EA">
              <w:rPr>
                <w:rFonts w:cs="Arial"/>
                <w:sz w:val="16"/>
                <w:szCs w:val="16"/>
              </w:rPr>
              <w:t>0,004</w:t>
            </w:r>
          </w:p>
        </w:tc>
      </w:tr>
      <w:tr w:rsidR="006016EA" w:rsidRPr="006016EA" w14:paraId="4E3E2E5D" w14:textId="77777777" w:rsidTr="006016EA">
        <w:tc>
          <w:tcPr>
            <w:tcW w:w="1711" w:type="dxa"/>
            <w:noWrap/>
            <w:hideMark/>
          </w:tcPr>
          <w:p w14:paraId="12AC2C5C" w14:textId="77777777" w:rsidR="006016EA" w:rsidRPr="006016EA" w:rsidRDefault="006016EA" w:rsidP="006016EA">
            <w:pPr>
              <w:rPr>
                <w:rFonts w:cs="Arial"/>
                <w:sz w:val="16"/>
                <w:szCs w:val="16"/>
              </w:rPr>
            </w:pPr>
            <w:proofErr w:type="spellStart"/>
            <w:r w:rsidRPr="006016EA">
              <w:rPr>
                <w:rFonts w:cs="Arial"/>
                <w:sz w:val="16"/>
                <w:szCs w:val="16"/>
              </w:rPr>
              <w:t>contact_neigh</w:t>
            </w:r>
            <w:proofErr w:type="spellEnd"/>
          </w:p>
        </w:tc>
        <w:tc>
          <w:tcPr>
            <w:tcW w:w="1124" w:type="dxa"/>
            <w:noWrap/>
            <w:hideMark/>
          </w:tcPr>
          <w:p w14:paraId="722E6EDB" w14:textId="77777777" w:rsidR="006016EA" w:rsidRPr="006016EA" w:rsidRDefault="006016EA" w:rsidP="006016EA">
            <w:pPr>
              <w:rPr>
                <w:rFonts w:cs="Arial"/>
                <w:sz w:val="16"/>
                <w:szCs w:val="16"/>
              </w:rPr>
            </w:pPr>
            <w:r w:rsidRPr="006016EA">
              <w:rPr>
                <w:rFonts w:cs="Arial"/>
                <w:sz w:val="16"/>
                <w:szCs w:val="16"/>
              </w:rPr>
              <w:t>0,094</w:t>
            </w:r>
          </w:p>
        </w:tc>
        <w:tc>
          <w:tcPr>
            <w:tcW w:w="1134" w:type="dxa"/>
            <w:noWrap/>
            <w:hideMark/>
          </w:tcPr>
          <w:p w14:paraId="7A5FB28E" w14:textId="77777777" w:rsidR="006016EA" w:rsidRPr="006016EA" w:rsidRDefault="006016EA" w:rsidP="006016EA">
            <w:pPr>
              <w:rPr>
                <w:rFonts w:cs="Arial"/>
                <w:sz w:val="16"/>
                <w:szCs w:val="16"/>
              </w:rPr>
            </w:pPr>
            <w:r w:rsidRPr="006016EA">
              <w:rPr>
                <w:rFonts w:cs="Arial"/>
                <w:sz w:val="16"/>
                <w:szCs w:val="16"/>
              </w:rPr>
              <w:t>0,033</w:t>
            </w:r>
          </w:p>
        </w:tc>
        <w:tc>
          <w:tcPr>
            <w:tcW w:w="1134" w:type="dxa"/>
            <w:noWrap/>
            <w:hideMark/>
          </w:tcPr>
          <w:p w14:paraId="4451DA1C" w14:textId="77777777" w:rsidR="006016EA" w:rsidRPr="006016EA" w:rsidRDefault="006016EA" w:rsidP="006016EA">
            <w:pPr>
              <w:rPr>
                <w:rFonts w:cs="Arial"/>
                <w:sz w:val="16"/>
                <w:szCs w:val="16"/>
              </w:rPr>
            </w:pPr>
            <w:r w:rsidRPr="006016EA">
              <w:rPr>
                <w:rFonts w:cs="Arial"/>
                <w:sz w:val="16"/>
                <w:szCs w:val="16"/>
              </w:rPr>
              <w:t>-0,069</w:t>
            </w:r>
          </w:p>
        </w:tc>
        <w:tc>
          <w:tcPr>
            <w:tcW w:w="1134" w:type="dxa"/>
            <w:noWrap/>
            <w:hideMark/>
          </w:tcPr>
          <w:p w14:paraId="13294D00" w14:textId="77777777" w:rsidR="006016EA" w:rsidRPr="006016EA" w:rsidRDefault="006016EA" w:rsidP="006016EA">
            <w:pPr>
              <w:rPr>
                <w:rFonts w:cs="Arial"/>
                <w:sz w:val="16"/>
                <w:szCs w:val="16"/>
              </w:rPr>
            </w:pPr>
            <w:r w:rsidRPr="006016EA">
              <w:rPr>
                <w:rFonts w:cs="Arial"/>
                <w:sz w:val="16"/>
                <w:szCs w:val="16"/>
              </w:rPr>
              <w:t>-0,083</w:t>
            </w:r>
          </w:p>
        </w:tc>
        <w:tc>
          <w:tcPr>
            <w:tcW w:w="993" w:type="dxa"/>
            <w:noWrap/>
            <w:hideMark/>
          </w:tcPr>
          <w:p w14:paraId="327BB0E6" w14:textId="77777777" w:rsidR="006016EA" w:rsidRPr="006016EA" w:rsidRDefault="006016EA" w:rsidP="006016EA">
            <w:pPr>
              <w:rPr>
                <w:rFonts w:cs="Arial"/>
                <w:sz w:val="16"/>
                <w:szCs w:val="16"/>
              </w:rPr>
            </w:pPr>
            <w:r w:rsidRPr="006016EA">
              <w:rPr>
                <w:rFonts w:cs="Arial"/>
                <w:sz w:val="16"/>
                <w:szCs w:val="16"/>
              </w:rPr>
              <w:t>0,015</w:t>
            </w:r>
          </w:p>
        </w:tc>
      </w:tr>
      <w:tr w:rsidR="006016EA" w:rsidRPr="006016EA" w14:paraId="612C2339" w14:textId="77777777" w:rsidTr="006016EA">
        <w:tc>
          <w:tcPr>
            <w:tcW w:w="1711" w:type="dxa"/>
            <w:noWrap/>
            <w:hideMark/>
          </w:tcPr>
          <w:p w14:paraId="42857236" w14:textId="77777777" w:rsidR="006016EA" w:rsidRPr="006016EA" w:rsidRDefault="006016EA" w:rsidP="006016EA">
            <w:pPr>
              <w:rPr>
                <w:rFonts w:cs="Arial"/>
                <w:sz w:val="16"/>
                <w:szCs w:val="16"/>
              </w:rPr>
            </w:pPr>
            <w:proofErr w:type="spellStart"/>
            <w:r w:rsidRPr="006016EA">
              <w:rPr>
                <w:rFonts w:cs="Arial"/>
                <w:sz w:val="16"/>
                <w:szCs w:val="16"/>
              </w:rPr>
              <w:t>want_to_move</w:t>
            </w:r>
            <w:proofErr w:type="spellEnd"/>
          </w:p>
        </w:tc>
        <w:tc>
          <w:tcPr>
            <w:tcW w:w="1124" w:type="dxa"/>
            <w:noWrap/>
            <w:hideMark/>
          </w:tcPr>
          <w:p w14:paraId="147B65F3" w14:textId="77777777" w:rsidR="006016EA" w:rsidRPr="006016EA" w:rsidRDefault="006016EA" w:rsidP="006016EA">
            <w:pPr>
              <w:rPr>
                <w:rFonts w:cs="Arial"/>
                <w:sz w:val="16"/>
                <w:szCs w:val="16"/>
              </w:rPr>
            </w:pPr>
            <w:r w:rsidRPr="006016EA">
              <w:rPr>
                <w:rFonts w:cs="Arial"/>
                <w:sz w:val="16"/>
                <w:szCs w:val="16"/>
              </w:rPr>
              <w:t>-0,154</w:t>
            </w:r>
          </w:p>
        </w:tc>
        <w:tc>
          <w:tcPr>
            <w:tcW w:w="1134" w:type="dxa"/>
            <w:noWrap/>
            <w:hideMark/>
          </w:tcPr>
          <w:p w14:paraId="5D02D712" w14:textId="77777777" w:rsidR="006016EA" w:rsidRPr="006016EA" w:rsidRDefault="006016EA" w:rsidP="006016EA">
            <w:pPr>
              <w:rPr>
                <w:rFonts w:cs="Arial"/>
                <w:sz w:val="16"/>
                <w:szCs w:val="16"/>
              </w:rPr>
            </w:pPr>
            <w:r w:rsidRPr="006016EA">
              <w:rPr>
                <w:rFonts w:cs="Arial"/>
                <w:sz w:val="16"/>
                <w:szCs w:val="16"/>
              </w:rPr>
              <w:t>-0,076</w:t>
            </w:r>
          </w:p>
        </w:tc>
        <w:tc>
          <w:tcPr>
            <w:tcW w:w="1134" w:type="dxa"/>
            <w:noWrap/>
            <w:hideMark/>
          </w:tcPr>
          <w:p w14:paraId="5101A56E" w14:textId="77777777" w:rsidR="006016EA" w:rsidRPr="006016EA" w:rsidRDefault="006016EA" w:rsidP="006016EA">
            <w:pPr>
              <w:rPr>
                <w:rFonts w:cs="Arial"/>
                <w:sz w:val="16"/>
                <w:szCs w:val="16"/>
              </w:rPr>
            </w:pPr>
            <w:r w:rsidRPr="006016EA">
              <w:rPr>
                <w:rFonts w:cs="Arial"/>
                <w:sz w:val="16"/>
                <w:szCs w:val="16"/>
              </w:rPr>
              <w:t>0,151</w:t>
            </w:r>
          </w:p>
        </w:tc>
        <w:tc>
          <w:tcPr>
            <w:tcW w:w="1134" w:type="dxa"/>
            <w:noWrap/>
            <w:hideMark/>
          </w:tcPr>
          <w:p w14:paraId="47344946" w14:textId="77777777" w:rsidR="006016EA" w:rsidRPr="006016EA" w:rsidRDefault="006016EA" w:rsidP="006016EA">
            <w:pPr>
              <w:rPr>
                <w:rFonts w:cs="Arial"/>
                <w:sz w:val="16"/>
                <w:szCs w:val="16"/>
              </w:rPr>
            </w:pPr>
            <w:r w:rsidRPr="006016EA">
              <w:rPr>
                <w:rFonts w:cs="Arial"/>
                <w:sz w:val="16"/>
                <w:szCs w:val="16"/>
              </w:rPr>
              <w:t>0,118</w:t>
            </w:r>
          </w:p>
        </w:tc>
        <w:tc>
          <w:tcPr>
            <w:tcW w:w="993" w:type="dxa"/>
            <w:noWrap/>
            <w:hideMark/>
          </w:tcPr>
          <w:p w14:paraId="3BEBD3E1" w14:textId="77777777" w:rsidR="006016EA" w:rsidRPr="006016EA" w:rsidRDefault="006016EA" w:rsidP="006016EA">
            <w:pPr>
              <w:rPr>
                <w:rFonts w:cs="Arial"/>
                <w:sz w:val="16"/>
                <w:szCs w:val="16"/>
              </w:rPr>
            </w:pPr>
            <w:r w:rsidRPr="006016EA">
              <w:rPr>
                <w:rFonts w:cs="Arial"/>
                <w:sz w:val="16"/>
                <w:szCs w:val="16"/>
              </w:rPr>
              <w:t>0,068</w:t>
            </w:r>
          </w:p>
        </w:tc>
      </w:tr>
      <w:tr w:rsidR="006016EA" w:rsidRPr="006016EA" w14:paraId="6592FA76" w14:textId="77777777" w:rsidTr="006016EA">
        <w:tc>
          <w:tcPr>
            <w:tcW w:w="1711" w:type="dxa"/>
            <w:noWrap/>
            <w:hideMark/>
          </w:tcPr>
          <w:p w14:paraId="75501C4B" w14:textId="77777777" w:rsidR="006016EA" w:rsidRPr="006016EA" w:rsidRDefault="006016EA" w:rsidP="006016EA">
            <w:pPr>
              <w:rPr>
                <w:rFonts w:cs="Arial"/>
                <w:sz w:val="16"/>
                <w:szCs w:val="16"/>
              </w:rPr>
            </w:pPr>
            <w:proofErr w:type="spellStart"/>
            <w:r w:rsidRPr="006016EA">
              <w:rPr>
                <w:rFonts w:cs="Arial"/>
                <w:sz w:val="16"/>
                <w:szCs w:val="16"/>
              </w:rPr>
              <w:t>urbanity_buurt</w:t>
            </w:r>
            <w:proofErr w:type="spellEnd"/>
          </w:p>
        </w:tc>
        <w:tc>
          <w:tcPr>
            <w:tcW w:w="1124" w:type="dxa"/>
            <w:noWrap/>
            <w:hideMark/>
          </w:tcPr>
          <w:p w14:paraId="1D5A5A3E" w14:textId="77777777" w:rsidR="006016EA" w:rsidRPr="006016EA" w:rsidRDefault="006016EA" w:rsidP="006016EA">
            <w:pPr>
              <w:rPr>
                <w:rFonts w:cs="Arial"/>
                <w:sz w:val="16"/>
                <w:szCs w:val="16"/>
                <w:highlight w:val="lightGray"/>
              </w:rPr>
            </w:pPr>
            <w:r w:rsidRPr="006016EA">
              <w:rPr>
                <w:rFonts w:cs="Arial"/>
                <w:sz w:val="16"/>
                <w:szCs w:val="16"/>
                <w:highlight w:val="lightGray"/>
              </w:rPr>
              <w:t>-0,809</w:t>
            </w:r>
          </w:p>
        </w:tc>
        <w:tc>
          <w:tcPr>
            <w:tcW w:w="1134" w:type="dxa"/>
            <w:noWrap/>
            <w:hideMark/>
          </w:tcPr>
          <w:p w14:paraId="2E44ACB4" w14:textId="77777777" w:rsidR="006016EA" w:rsidRPr="006016EA" w:rsidRDefault="006016EA" w:rsidP="006016EA">
            <w:pPr>
              <w:rPr>
                <w:rFonts w:cs="Arial"/>
                <w:sz w:val="16"/>
                <w:szCs w:val="16"/>
              </w:rPr>
            </w:pPr>
            <w:r w:rsidRPr="006016EA">
              <w:rPr>
                <w:rFonts w:cs="Arial"/>
                <w:sz w:val="16"/>
                <w:szCs w:val="16"/>
              </w:rPr>
              <w:t>0,023</w:t>
            </w:r>
          </w:p>
        </w:tc>
        <w:tc>
          <w:tcPr>
            <w:tcW w:w="1134" w:type="dxa"/>
            <w:noWrap/>
            <w:hideMark/>
          </w:tcPr>
          <w:p w14:paraId="1BA2475D" w14:textId="77777777" w:rsidR="006016EA" w:rsidRPr="006016EA" w:rsidRDefault="006016EA" w:rsidP="006016EA">
            <w:pPr>
              <w:rPr>
                <w:rFonts w:cs="Arial"/>
                <w:sz w:val="16"/>
                <w:szCs w:val="16"/>
              </w:rPr>
            </w:pPr>
            <w:r w:rsidRPr="006016EA">
              <w:rPr>
                <w:rFonts w:cs="Arial"/>
                <w:sz w:val="16"/>
                <w:szCs w:val="16"/>
              </w:rPr>
              <w:t>0,085</w:t>
            </w:r>
          </w:p>
        </w:tc>
        <w:tc>
          <w:tcPr>
            <w:tcW w:w="1134" w:type="dxa"/>
            <w:noWrap/>
            <w:hideMark/>
          </w:tcPr>
          <w:p w14:paraId="3B9889AF" w14:textId="77777777" w:rsidR="006016EA" w:rsidRPr="006016EA" w:rsidRDefault="006016EA" w:rsidP="006016EA">
            <w:pPr>
              <w:rPr>
                <w:rFonts w:cs="Arial"/>
                <w:sz w:val="16"/>
                <w:szCs w:val="16"/>
              </w:rPr>
            </w:pPr>
            <w:r w:rsidRPr="006016EA">
              <w:rPr>
                <w:rFonts w:cs="Arial"/>
                <w:sz w:val="16"/>
                <w:szCs w:val="16"/>
              </w:rPr>
              <w:t>0,097</w:t>
            </w:r>
          </w:p>
        </w:tc>
        <w:tc>
          <w:tcPr>
            <w:tcW w:w="993" w:type="dxa"/>
            <w:noWrap/>
            <w:hideMark/>
          </w:tcPr>
          <w:p w14:paraId="65E6E2AD" w14:textId="77777777" w:rsidR="006016EA" w:rsidRPr="006016EA" w:rsidRDefault="006016EA" w:rsidP="006016EA">
            <w:pPr>
              <w:rPr>
                <w:rFonts w:cs="Arial"/>
                <w:sz w:val="16"/>
                <w:szCs w:val="16"/>
              </w:rPr>
            </w:pPr>
            <w:r w:rsidRPr="006016EA">
              <w:rPr>
                <w:rFonts w:cs="Arial"/>
                <w:sz w:val="16"/>
                <w:szCs w:val="16"/>
              </w:rPr>
              <w:t>0,105</w:t>
            </w:r>
          </w:p>
        </w:tc>
      </w:tr>
      <w:tr w:rsidR="006016EA" w:rsidRPr="006016EA" w14:paraId="55AC933A" w14:textId="77777777" w:rsidTr="006016EA">
        <w:tc>
          <w:tcPr>
            <w:tcW w:w="1711" w:type="dxa"/>
            <w:noWrap/>
            <w:hideMark/>
          </w:tcPr>
          <w:p w14:paraId="529F651F" w14:textId="77777777" w:rsidR="006016EA" w:rsidRPr="006016EA" w:rsidRDefault="006016EA" w:rsidP="006016EA">
            <w:pPr>
              <w:rPr>
                <w:rFonts w:cs="Arial"/>
                <w:sz w:val="16"/>
                <w:szCs w:val="16"/>
              </w:rPr>
            </w:pPr>
            <w:proofErr w:type="spellStart"/>
            <w:r w:rsidRPr="006016EA">
              <w:rPr>
                <w:rFonts w:cs="Arial"/>
                <w:sz w:val="16"/>
                <w:szCs w:val="16"/>
              </w:rPr>
              <w:t>dwelling_type</w:t>
            </w:r>
            <w:proofErr w:type="spellEnd"/>
          </w:p>
        </w:tc>
        <w:tc>
          <w:tcPr>
            <w:tcW w:w="1124" w:type="dxa"/>
            <w:noWrap/>
            <w:hideMark/>
          </w:tcPr>
          <w:p w14:paraId="47F73173" w14:textId="77777777" w:rsidR="006016EA" w:rsidRPr="006016EA" w:rsidRDefault="006016EA" w:rsidP="006016EA">
            <w:pPr>
              <w:rPr>
                <w:rFonts w:cs="Arial"/>
                <w:sz w:val="16"/>
                <w:szCs w:val="16"/>
                <w:highlight w:val="lightGray"/>
              </w:rPr>
            </w:pPr>
            <w:r w:rsidRPr="006016EA">
              <w:rPr>
                <w:rFonts w:cs="Arial"/>
                <w:sz w:val="16"/>
                <w:szCs w:val="16"/>
                <w:highlight w:val="lightGray"/>
              </w:rPr>
              <w:t>0,697</w:t>
            </w:r>
          </w:p>
        </w:tc>
        <w:tc>
          <w:tcPr>
            <w:tcW w:w="1134" w:type="dxa"/>
            <w:noWrap/>
            <w:hideMark/>
          </w:tcPr>
          <w:p w14:paraId="7130E4C9" w14:textId="77777777" w:rsidR="006016EA" w:rsidRPr="006016EA" w:rsidRDefault="006016EA" w:rsidP="006016EA">
            <w:pPr>
              <w:rPr>
                <w:rFonts w:cs="Arial"/>
                <w:sz w:val="16"/>
                <w:szCs w:val="16"/>
              </w:rPr>
            </w:pPr>
            <w:r w:rsidRPr="006016EA">
              <w:rPr>
                <w:rFonts w:cs="Arial"/>
                <w:sz w:val="16"/>
                <w:szCs w:val="16"/>
              </w:rPr>
              <w:t>0,084</w:t>
            </w:r>
          </w:p>
        </w:tc>
        <w:tc>
          <w:tcPr>
            <w:tcW w:w="1134" w:type="dxa"/>
            <w:noWrap/>
            <w:hideMark/>
          </w:tcPr>
          <w:p w14:paraId="7BC5F551" w14:textId="77777777" w:rsidR="006016EA" w:rsidRPr="006016EA" w:rsidRDefault="006016EA" w:rsidP="006016EA">
            <w:pPr>
              <w:rPr>
                <w:rFonts w:cs="Arial"/>
                <w:sz w:val="16"/>
                <w:szCs w:val="16"/>
              </w:rPr>
            </w:pPr>
            <w:r w:rsidRPr="006016EA">
              <w:rPr>
                <w:rFonts w:cs="Arial"/>
                <w:sz w:val="16"/>
                <w:szCs w:val="16"/>
              </w:rPr>
              <w:t>0,172</w:t>
            </w:r>
          </w:p>
        </w:tc>
        <w:tc>
          <w:tcPr>
            <w:tcW w:w="1134" w:type="dxa"/>
            <w:noWrap/>
            <w:hideMark/>
          </w:tcPr>
          <w:p w14:paraId="74611FD4" w14:textId="77777777" w:rsidR="006016EA" w:rsidRPr="006016EA" w:rsidRDefault="006016EA" w:rsidP="006016EA">
            <w:pPr>
              <w:rPr>
                <w:rFonts w:cs="Arial"/>
                <w:sz w:val="16"/>
                <w:szCs w:val="16"/>
              </w:rPr>
            </w:pPr>
            <w:r w:rsidRPr="006016EA">
              <w:rPr>
                <w:rFonts w:cs="Arial"/>
                <w:sz w:val="16"/>
                <w:szCs w:val="16"/>
                <w:highlight w:val="lightGray"/>
              </w:rPr>
              <w:t>-0,827</w:t>
            </w:r>
          </w:p>
        </w:tc>
        <w:tc>
          <w:tcPr>
            <w:tcW w:w="993" w:type="dxa"/>
            <w:noWrap/>
            <w:hideMark/>
          </w:tcPr>
          <w:p w14:paraId="4D0F0E83" w14:textId="77777777" w:rsidR="006016EA" w:rsidRPr="006016EA" w:rsidRDefault="006016EA" w:rsidP="006016EA">
            <w:pPr>
              <w:rPr>
                <w:rFonts w:cs="Arial"/>
                <w:sz w:val="16"/>
                <w:szCs w:val="16"/>
              </w:rPr>
            </w:pPr>
            <w:r w:rsidRPr="006016EA">
              <w:rPr>
                <w:rFonts w:cs="Arial"/>
                <w:sz w:val="16"/>
                <w:szCs w:val="16"/>
              </w:rPr>
              <w:t>0,283</w:t>
            </w:r>
          </w:p>
        </w:tc>
      </w:tr>
      <w:tr w:rsidR="006016EA" w:rsidRPr="006016EA" w14:paraId="007143AA" w14:textId="77777777" w:rsidTr="006016EA">
        <w:tc>
          <w:tcPr>
            <w:tcW w:w="1711" w:type="dxa"/>
            <w:noWrap/>
            <w:hideMark/>
          </w:tcPr>
          <w:p w14:paraId="5898F787" w14:textId="77777777" w:rsidR="006016EA" w:rsidRPr="006016EA" w:rsidRDefault="006016EA" w:rsidP="006016EA">
            <w:pPr>
              <w:rPr>
                <w:rFonts w:cs="Arial"/>
                <w:sz w:val="16"/>
                <w:szCs w:val="16"/>
              </w:rPr>
            </w:pPr>
            <w:proofErr w:type="spellStart"/>
            <w:r w:rsidRPr="006016EA">
              <w:rPr>
                <w:rFonts w:cs="Arial"/>
                <w:sz w:val="16"/>
                <w:szCs w:val="16"/>
              </w:rPr>
              <w:t>past_out_renov</w:t>
            </w:r>
            <w:proofErr w:type="spellEnd"/>
          </w:p>
        </w:tc>
        <w:tc>
          <w:tcPr>
            <w:tcW w:w="1124" w:type="dxa"/>
            <w:noWrap/>
            <w:hideMark/>
          </w:tcPr>
          <w:p w14:paraId="7F5CDF9D" w14:textId="77777777" w:rsidR="006016EA" w:rsidRPr="006016EA" w:rsidRDefault="006016EA" w:rsidP="006016EA">
            <w:pPr>
              <w:rPr>
                <w:rFonts w:cs="Arial"/>
                <w:sz w:val="16"/>
                <w:szCs w:val="16"/>
              </w:rPr>
            </w:pPr>
            <w:r w:rsidRPr="006016EA">
              <w:rPr>
                <w:rFonts w:cs="Arial"/>
                <w:sz w:val="16"/>
                <w:szCs w:val="16"/>
              </w:rPr>
              <w:t>-0,043</w:t>
            </w:r>
          </w:p>
        </w:tc>
        <w:tc>
          <w:tcPr>
            <w:tcW w:w="1134" w:type="dxa"/>
            <w:noWrap/>
            <w:hideMark/>
          </w:tcPr>
          <w:p w14:paraId="28FB879E" w14:textId="77777777" w:rsidR="006016EA" w:rsidRPr="006016EA" w:rsidRDefault="006016EA" w:rsidP="006016EA">
            <w:pPr>
              <w:rPr>
                <w:rFonts w:cs="Arial"/>
                <w:sz w:val="16"/>
                <w:szCs w:val="16"/>
              </w:rPr>
            </w:pPr>
            <w:r w:rsidRPr="006016EA">
              <w:rPr>
                <w:rFonts w:cs="Arial"/>
                <w:sz w:val="16"/>
                <w:szCs w:val="16"/>
              </w:rPr>
              <w:t>-0,047</w:t>
            </w:r>
          </w:p>
        </w:tc>
        <w:tc>
          <w:tcPr>
            <w:tcW w:w="1134" w:type="dxa"/>
            <w:noWrap/>
            <w:hideMark/>
          </w:tcPr>
          <w:p w14:paraId="548E7C5C" w14:textId="77777777" w:rsidR="006016EA" w:rsidRPr="006016EA" w:rsidRDefault="006016EA" w:rsidP="006016EA">
            <w:pPr>
              <w:rPr>
                <w:rFonts w:cs="Arial"/>
                <w:sz w:val="16"/>
                <w:szCs w:val="16"/>
              </w:rPr>
            </w:pPr>
            <w:r w:rsidRPr="006016EA">
              <w:rPr>
                <w:rFonts w:cs="Arial"/>
                <w:sz w:val="16"/>
                <w:szCs w:val="16"/>
              </w:rPr>
              <w:t>-0,068</w:t>
            </w:r>
          </w:p>
        </w:tc>
        <w:tc>
          <w:tcPr>
            <w:tcW w:w="1134" w:type="dxa"/>
            <w:noWrap/>
            <w:hideMark/>
          </w:tcPr>
          <w:p w14:paraId="7945A598" w14:textId="77777777" w:rsidR="006016EA" w:rsidRPr="006016EA" w:rsidRDefault="006016EA" w:rsidP="006016EA">
            <w:pPr>
              <w:rPr>
                <w:rFonts w:cs="Arial"/>
                <w:sz w:val="16"/>
                <w:szCs w:val="16"/>
              </w:rPr>
            </w:pPr>
            <w:r w:rsidRPr="006016EA">
              <w:rPr>
                <w:rFonts w:cs="Arial"/>
                <w:sz w:val="16"/>
                <w:szCs w:val="16"/>
              </w:rPr>
              <w:t>0,109</w:t>
            </w:r>
          </w:p>
        </w:tc>
        <w:tc>
          <w:tcPr>
            <w:tcW w:w="993" w:type="dxa"/>
            <w:noWrap/>
            <w:hideMark/>
          </w:tcPr>
          <w:p w14:paraId="7FEE9FB1" w14:textId="77777777" w:rsidR="006016EA" w:rsidRPr="006016EA" w:rsidRDefault="006016EA" w:rsidP="006016EA">
            <w:pPr>
              <w:rPr>
                <w:rFonts w:cs="Arial"/>
                <w:sz w:val="16"/>
                <w:szCs w:val="16"/>
              </w:rPr>
            </w:pPr>
            <w:r w:rsidRPr="006016EA">
              <w:rPr>
                <w:rFonts w:cs="Arial"/>
                <w:sz w:val="16"/>
                <w:szCs w:val="16"/>
              </w:rPr>
              <w:t>-0,316</w:t>
            </w:r>
          </w:p>
        </w:tc>
      </w:tr>
      <w:tr w:rsidR="006016EA" w:rsidRPr="006016EA" w14:paraId="21060257" w14:textId="77777777" w:rsidTr="006016EA">
        <w:tc>
          <w:tcPr>
            <w:tcW w:w="1711" w:type="dxa"/>
            <w:noWrap/>
            <w:hideMark/>
          </w:tcPr>
          <w:p w14:paraId="143D75B3" w14:textId="77777777" w:rsidR="006016EA" w:rsidRPr="006016EA" w:rsidRDefault="006016EA" w:rsidP="006016EA">
            <w:pPr>
              <w:rPr>
                <w:rFonts w:cs="Arial"/>
                <w:sz w:val="16"/>
                <w:szCs w:val="16"/>
              </w:rPr>
            </w:pPr>
            <w:proofErr w:type="spellStart"/>
            <w:r w:rsidRPr="006016EA">
              <w:rPr>
                <w:rFonts w:cs="Arial"/>
                <w:sz w:val="16"/>
                <w:szCs w:val="16"/>
              </w:rPr>
              <w:t>past_ind_renov</w:t>
            </w:r>
            <w:proofErr w:type="spellEnd"/>
          </w:p>
        </w:tc>
        <w:tc>
          <w:tcPr>
            <w:tcW w:w="1124" w:type="dxa"/>
            <w:noWrap/>
            <w:hideMark/>
          </w:tcPr>
          <w:p w14:paraId="14D91C90" w14:textId="77777777" w:rsidR="006016EA" w:rsidRPr="006016EA" w:rsidRDefault="006016EA" w:rsidP="006016EA">
            <w:pPr>
              <w:rPr>
                <w:rFonts w:cs="Arial"/>
                <w:sz w:val="16"/>
                <w:szCs w:val="16"/>
              </w:rPr>
            </w:pPr>
            <w:r w:rsidRPr="006016EA">
              <w:rPr>
                <w:rFonts w:cs="Arial"/>
                <w:sz w:val="16"/>
                <w:szCs w:val="16"/>
              </w:rPr>
              <w:t>0,029</w:t>
            </w:r>
          </w:p>
        </w:tc>
        <w:tc>
          <w:tcPr>
            <w:tcW w:w="1134" w:type="dxa"/>
            <w:noWrap/>
            <w:hideMark/>
          </w:tcPr>
          <w:p w14:paraId="682978B2" w14:textId="77777777" w:rsidR="006016EA" w:rsidRPr="006016EA" w:rsidRDefault="006016EA" w:rsidP="006016EA">
            <w:pPr>
              <w:rPr>
                <w:rFonts w:cs="Arial"/>
                <w:sz w:val="16"/>
                <w:szCs w:val="16"/>
              </w:rPr>
            </w:pPr>
            <w:r w:rsidRPr="006016EA">
              <w:rPr>
                <w:rFonts w:cs="Arial"/>
                <w:sz w:val="16"/>
                <w:szCs w:val="16"/>
              </w:rPr>
              <w:t>0,054</w:t>
            </w:r>
          </w:p>
        </w:tc>
        <w:tc>
          <w:tcPr>
            <w:tcW w:w="1134" w:type="dxa"/>
            <w:noWrap/>
            <w:hideMark/>
          </w:tcPr>
          <w:p w14:paraId="1A082596" w14:textId="77777777" w:rsidR="006016EA" w:rsidRPr="006016EA" w:rsidRDefault="006016EA" w:rsidP="006016EA">
            <w:pPr>
              <w:rPr>
                <w:rFonts w:cs="Arial"/>
                <w:sz w:val="16"/>
                <w:szCs w:val="16"/>
              </w:rPr>
            </w:pPr>
            <w:r w:rsidRPr="006016EA">
              <w:rPr>
                <w:rFonts w:cs="Arial"/>
                <w:sz w:val="16"/>
                <w:szCs w:val="16"/>
              </w:rPr>
              <w:t>-0,361</w:t>
            </w:r>
          </w:p>
        </w:tc>
        <w:tc>
          <w:tcPr>
            <w:tcW w:w="1134" w:type="dxa"/>
            <w:noWrap/>
            <w:hideMark/>
          </w:tcPr>
          <w:p w14:paraId="4596B047" w14:textId="77777777" w:rsidR="006016EA" w:rsidRPr="006016EA" w:rsidRDefault="006016EA" w:rsidP="006016EA">
            <w:pPr>
              <w:rPr>
                <w:rFonts w:cs="Arial"/>
                <w:sz w:val="16"/>
                <w:szCs w:val="16"/>
              </w:rPr>
            </w:pPr>
            <w:r w:rsidRPr="006016EA">
              <w:rPr>
                <w:rFonts w:cs="Arial"/>
                <w:sz w:val="16"/>
                <w:szCs w:val="16"/>
              </w:rPr>
              <w:t>0,050</w:t>
            </w:r>
          </w:p>
        </w:tc>
        <w:tc>
          <w:tcPr>
            <w:tcW w:w="993" w:type="dxa"/>
            <w:noWrap/>
            <w:hideMark/>
          </w:tcPr>
          <w:p w14:paraId="40F563E4" w14:textId="77777777" w:rsidR="006016EA" w:rsidRPr="006016EA" w:rsidRDefault="006016EA" w:rsidP="006016EA">
            <w:pPr>
              <w:rPr>
                <w:rFonts w:cs="Arial"/>
                <w:sz w:val="16"/>
                <w:szCs w:val="16"/>
              </w:rPr>
            </w:pPr>
            <w:r w:rsidRPr="006016EA">
              <w:rPr>
                <w:rFonts w:cs="Arial"/>
                <w:sz w:val="16"/>
                <w:szCs w:val="16"/>
              </w:rPr>
              <w:t>-0,154</w:t>
            </w:r>
          </w:p>
        </w:tc>
      </w:tr>
      <w:tr w:rsidR="006016EA" w:rsidRPr="006016EA" w14:paraId="464C6454" w14:textId="77777777" w:rsidTr="006016EA">
        <w:tc>
          <w:tcPr>
            <w:tcW w:w="1711" w:type="dxa"/>
            <w:noWrap/>
            <w:hideMark/>
          </w:tcPr>
          <w:p w14:paraId="7E947548" w14:textId="77777777" w:rsidR="006016EA" w:rsidRPr="006016EA" w:rsidRDefault="006016EA" w:rsidP="006016EA">
            <w:pPr>
              <w:rPr>
                <w:rFonts w:cs="Arial"/>
                <w:sz w:val="16"/>
                <w:szCs w:val="16"/>
              </w:rPr>
            </w:pPr>
            <w:proofErr w:type="spellStart"/>
            <w:r w:rsidRPr="006016EA">
              <w:rPr>
                <w:rFonts w:cs="Arial"/>
                <w:sz w:val="16"/>
                <w:szCs w:val="16"/>
              </w:rPr>
              <w:t>exist_insulation</w:t>
            </w:r>
            <w:proofErr w:type="spellEnd"/>
          </w:p>
        </w:tc>
        <w:tc>
          <w:tcPr>
            <w:tcW w:w="1124" w:type="dxa"/>
            <w:noWrap/>
            <w:hideMark/>
          </w:tcPr>
          <w:p w14:paraId="20643568" w14:textId="77777777" w:rsidR="006016EA" w:rsidRPr="006016EA" w:rsidRDefault="006016EA" w:rsidP="006016EA">
            <w:pPr>
              <w:rPr>
                <w:rFonts w:cs="Arial"/>
                <w:sz w:val="16"/>
                <w:szCs w:val="16"/>
              </w:rPr>
            </w:pPr>
            <w:r w:rsidRPr="006016EA">
              <w:rPr>
                <w:rFonts w:cs="Arial"/>
                <w:sz w:val="16"/>
                <w:szCs w:val="16"/>
              </w:rPr>
              <w:t>-0,208</w:t>
            </w:r>
          </w:p>
        </w:tc>
        <w:tc>
          <w:tcPr>
            <w:tcW w:w="1134" w:type="dxa"/>
            <w:noWrap/>
            <w:hideMark/>
          </w:tcPr>
          <w:p w14:paraId="3F61A023" w14:textId="77777777" w:rsidR="006016EA" w:rsidRPr="006016EA" w:rsidRDefault="006016EA" w:rsidP="006016EA">
            <w:pPr>
              <w:rPr>
                <w:rFonts w:cs="Arial"/>
                <w:sz w:val="16"/>
                <w:szCs w:val="16"/>
              </w:rPr>
            </w:pPr>
            <w:r w:rsidRPr="006016EA">
              <w:rPr>
                <w:rFonts w:cs="Arial"/>
                <w:sz w:val="16"/>
                <w:szCs w:val="16"/>
              </w:rPr>
              <w:t>-0,112</w:t>
            </w:r>
          </w:p>
        </w:tc>
        <w:tc>
          <w:tcPr>
            <w:tcW w:w="1134" w:type="dxa"/>
            <w:noWrap/>
            <w:hideMark/>
          </w:tcPr>
          <w:p w14:paraId="1F4931E3" w14:textId="77777777" w:rsidR="006016EA" w:rsidRPr="006016EA" w:rsidRDefault="006016EA" w:rsidP="006016EA">
            <w:pPr>
              <w:rPr>
                <w:rFonts w:cs="Arial"/>
                <w:sz w:val="16"/>
                <w:szCs w:val="16"/>
              </w:rPr>
            </w:pPr>
            <w:r w:rsidRPr="006016EA">
              <w:rPr>
                <w:rFonts w:cs="Arial"/>
                <w:sz w:val="16"/>
                <w:szCs w:val="16"/>
              </w:rPr>
              <w:t>-0,126</w:t>
            </w:r>
          </w:p>
        </w:tc>
        <w:tc>
          <w:tcPr>
            <w:tcW w:w="1134" w:type="dxa"/>
            <w:noWrap/>
            <w:hideMark/>
          </w:tcPr>
          <w:p w14:paraId="560B9CC4" w14:textId="77777777" w:rsidR="006016EA" w:rsidRPr="006016EA" w:rsidRDefault="006016EA" w:rsidP="006016EA">
            <w:pPr>
              <w:rPr>
                <w:rFonts w:cs="Arial"/>
                <w:sz w:val="16"/>
                <w:szCs w:val="16"/>
              </w:rPr>
            </w:pPr>
            <w:r w:rsidRPr="006016EA">
              <w:rPr>
                <w:rFonts w:cs="Arial"/>
                <w:sz w:val="16"/>
                <w:szCs w:val="16"/>
              </w:rPr>
              <w:t>0,294</w:t>
            </w:r>
          </w:p>
        </w:tc>
        <w:tc>
          <w:tcPr>
            <w:tcW w:w="993" w:type="dxa"/>
            <w:noWrap/>
            <w:hideMark/>
          </w:tcPr>
          <w:p w14:paraId="1689FA1A" w14:textId="77777777" w:rsidR="006016EA" w:rsidRPr="006016EA" w:rsidRDefault="006016EA" w:rsidP="006016EA">
            <w:pPr>
              <w:rPr>
                <w:rFonts w:cs="Arial"/>
                <w:sz w:val="16"/>
                <w:szCs w:val="16"/>
              </w:rPr>
            </w:pPr>
            <w:r w:rsidRPr="006016EA">
              <w:rPr>
                <w:rFonts w:cs="Arial"/>
                <w:sz w:val="16"/>
                <w:szCs w:val="16"/>
              </w:rPr>
              <w:t>0,351</w:t>
            </w:r>
          </w:p>
        </w:tc>
      </w:tr>
      <w:tr w:rsidR="006016EA" w:rsidRPr="006016EA" w14:paraId="2006C6DE" w14:textId="77777777" w:rsidTr="006016EA">
        <w:tc>
          <w:tcPr>
            <w:tcW w:w="1711" w:type="dxa"/>
            <w:noWrap/>
            <w:hideMark/>
          </w:tcPr>
          <w:p w14:paraId="7BB1BCC9" w14:textId="77777777" w:rsidR="006016EA" w:rsidRPr="006016EA" w:rsidRDefault="006016EA" w:rsidP="006016EA">
            <w:pPr>
              <w:rPr>
                <w:rFonts w:cs="Arial"/>
                <w:sz w:val="16"/>
                <w:szCs w:val="16"/>
              </w:rPr>
            </w:pPr>
            <w:proofErr w:type="spellStart"/>
            <w:r w:rsidRPr="006016EA">
              <w:rPr>
                <w:rFonts w:cs="Arial"/>
                <w:sz w:val="16"/>
                <w:szCs w:val="16"/>
              </w:rPr>
              <w:t>exist_double_glazing</w:t>
            </w:r>
            <w:proofErr w:type="spellEnd"/>
          </w:p>
        </w:tc>
        <w:tc>
          <w:tcPr>
            <w:tcW w:w="1124" w:type="dxa"/>
            <w:noWrap/>
            <w:hideMark/>
          </w:tcPr>
          <w:p w14:paraId="6CA455CA" w14:textId="77777777" w:rsidR="006016EA" w:rsidRPr="006016EA" w:rsidRDefault="006016EA" w:rsidP="006016EA">
            <w:pPr>
              <w:rPr>
                <w:rFonts w:cs="Arial"/>
                <w:sz w:val="16"/>
                <w:szCs w:val="16"/>
              </w:rPr>
            </w:pPr>
            <w:r w:rsidRPr="006016EA">
              <w:rPr>
                <w:rFonts w:cs="Arial"/>
                <w:sz w:val="16"/>
                <w:szCs w:val="16"/>
              </w:rPr>
              <w:t>-0,041</w:t>
            </w:r>
          </w:p>
        </w:tc>
        <w:tc>
          <w:tcPr>
            <w:tcW w:w="1134" w:type="dxa"/>
            <w:noWrap/>
            <w:hideMark/>
          </w:tcPr>
          <w:p w14:paraId="777C2070" w14:textId="77777777" w:rsidR="006016EA" w:rsidRPr="006016EA" w:rsidRDefault="006016EA" w:rsidP="006016EA">
            <w:pPr>
              <w:rPr>
                <w:rFonts w:cs="Arial"/>
                <w:sz w:val="16"/>
                <w:szCs w:val="16"/>
              </w:rPr>
            </w:pPr>
            <w:r w:rsidRPr="006016EA">
              <w:rPr>
                <w:rFonts w:cs="Arial"/>
                <w:sz w:val="16"/>
                <w:szCs w:val="16"/>
              </w:rPr>
              <w:t>-0,018</w:t>
            </w:r>
          </w:p>
        </w:tc>
        <w:tc>
          <w:tcPr>
            <w:tcW w:w="1134" w:type="dxa"/>
            <w:noWrap/>
            <w:hideMark/>
          </w:tcPr>
          <w:p w14:paraId="6FF564D7" w14:textId="77777777" w:rsidR="006016EA" w:rsidRPr="006016EA" w:rsidRDefault="006016EA" w:rsidP="006016EA">
            <w:pPr>
              <w:rPr>
                <w:rFonts w:cs="Arial"/>
                <w:sz w:val="16"/>
                <w:szCs w:val="16"/>
              </w:rPr>
            </w:pPr>
            <w:r w:rsidRPr="006016EA">
              <w:rPr>
                <w:rFonts w:cs="Arial"/>
                <w:sz w:val="16"/>
                <w:szCs w:val="16"/>
              </w:rPr>
              <w:t>-0,099</w:t>
            </w:r>
          </w:p>
        </w:tc>
        <w:tc>
          <w:tcPr>
            <w:tcW w:w="1134" w:type="dxa"/>
            <w:noWrap/>
            <w:hideMark/>
          </w:tcPr>
          <w:p w14:paraId="342A8B8F" w14:textId="77777777" w:rsidR="006016EA" w:rsidRPr="006016EA" w:rsidRDefault="006016EA" w:rsidP="006016EA">
            <w:pPr>
              <w:rPr>
                <w:rFonts w:cs="Arial"/>
                <w:sz w:val="16"/>
                <w:szCs w:val="16"/>
              </w:rPr>
            </w:pPr>
            <w:r w:rsidRPr="006016EA">
              <w:rPr>
                <w:rFonts w:cs="Arial"/>
                <w:sz w:val="16"/>
                <w:szCs w:val="16"/>
              </w:rPr>
              <w:t>0,161</w:t>
            </w:r>
          </w:p>
        </w:tc>
        <w:tc>
          <w:tcPr>
            <w:tcW w:w="993" w:type="dxa"/>
            <w:noWrap/>
            <w:hideMark/>
          </w:tcPr>
          <w:p w14:paraId="5F38C5BD" w14:textId="77777777" w:rsidR="006016EA" w:rsidRPr="006016EA" w:rsidRDefault="006016EA" w:rsidP="006016EA">
            <w:pPr>
              <w:rPr>
                <w:rFonts w:cs="Arial"/>
                <w:sz w:val="16"/>
                <w:szCs w:val="16"/>
              </w:rPr>
            </w:pPr>
            <w:r w:rsidRPr="006016EA">
              <w:rPr>
                <w:rFonts w:cs="Arial"/>
                <w:sz w:val="16"/>
                <w:szCs w:val="16"/>
              </w:rPr>
              <w:t>0,234</w:t>
            </w:r>
          </w:p>
        </w:tc>
      </w:tr>
      <w:tr w:rsidR="006016EA" w:rsidRPr="006016EA" w14:paraId="759FA84A" w14:textId="77777777" w:rsidTr="006016EA">
        <w:tc>
          <w:tcPr>
            <w:tcW w:w="1711" w:type="dxa"/>
            <w:noWrap/>
            <w:hideMark/>
          </w:tcPr>
          <w:p w14:paraId="3F07F902" w14:textId="77777777" w:rsidR="006016EA" w:rsidRPr="006016EA" w:rsidRDefault="006016EA" w:rsidP="006016EA">
            <w:pPr>
              <w:rPr>
                <w:rFonts w:cs="Arial"/>
                <w:sz w:val="16"/>
                <w:szCs w:val="16"/>
              </w:rPr>
            </w:pPr>
            <w:proofErr w:type="spellStart"/>
            <w:r w:rsidRPr="006016EA">
              <w:rPr>
                <w:rFonts w:cs="Arial"/>
                <w:sz w:val="16"/>
                <w:szCs w:val="16"/>
              </w:rPr>
              <w:t>exist_PV</w:t>
            </w:r>
            <w:proofErr w:type="spellEnd"/>
          </w:p>
        </w:tc>
        <w:tc>
          <w:tcPr>
            <w:tcW w:w="1124" w:type="dxa"/>
            <w:noWrap/>
            <w:hideMark/>
          </w:tcPr>
          <w:p w14:paraId="2FE88AB5" w14:textId="77777777" w:rsidR="006016EA" w:rsidRPr="006016EA" w:rsidRDefault="006016EA" w:rsidP="006016EA">
            <w:pPr>
              <w:rPr>
                <w:rFonts w:cs="Arial"/>
                <w:sz w:val="16"/>
                <w:szCs w:val="16"/>
              </w:rPr>
            </w:pPr>
            <w:r w:rsidRPr="006016EA">
              <w:rPr>
                <w:rFonts w:cs="Arial"/>
                <w:sz w:val="16"/>
                <w:szCs w:val="16"/>
              </w:rPr>
              <w:t>-0,109</w:t>
            </w:r>
          </w:p>
        </w:tc>
        <w:tc>
          <w:tcPr>
            <w:tcW w:w="1134" w:type="dxa"/>
            <w:noWrap/>
            <w:hideMark/>
          </w:tcPr>
          <w:p w14:paraId="071E1873" w14:textId="77777777" w:rsidR="006016EA" w:rsidRPr="006016EA" w:rsidRDefault="006016EA" w:rsidP="006016EA">
            <w:pPr>
              <w:rPr>
                <w:rFonts w:cs="Arial"/>
                <w:sz w:val="16"/>
                <w:szCs w:val="16"/>
              </w:rPr>
            </w:pPr>
            <w:r w:rsidRPr="006016EA">
              <w:rPr>
                <w:rFonts w:cs="Arial"/>
                <w:sz w:val="16"/>
                <w:szCs w:val="16"/>
              </w:rPr>
              <w:t>-0,058</w:t>
            </w:r>
          </w:p>
        </w:tc>
        <w:tc>
          <w:tcPr>
            <w:tcW w:w="1134" w:type="dxa"/>
            <w:noWrap/>
            <w:hideMark/>
          </w:tcPr>
          <w:p w14:paraId="289CAD53" w14:textId="77777777" w:rsidR="006016EA" w:rsidRPr="006016EA" w:rsidRDefault="006016EA" w:rsidP="006016EA">
            <w:pPr>
              <w:rPr>
                <w:rFonts w:cs="Arial"/>
                <w:sz w:val="16"/>
                <w:szCs w:val="16"/>
              </w:rPr>
            </w:pPr>
            <w:r w:rsidRPr="006016EA">
              <w:rPr>
                <w:rFonts w:cs="Arial"/>
                <w:sz w:val="16"/>
                <w:szCs w:val="16"/>
              </w:rPr>
              <w:t>-0,095</w:t>
            </w:r>
          </w:p>
        </w:tc>
        <w:tc>
          <w:tcPr>
            <w:tcW w:w="1134" w:type="dxa"/>
            <w:noWrap/>
            <w:hideMark/>
          </w:tcPr>
          <w:p w14:paraId="1DB20FD0" w14:textId="77777777" w:rsidR="006016EA" w:rsidRPr="006016EA" w:rsidRDefault="006016EA" w:rsidP="006016EA">
            <w:pPr>
              <w:rPr>
                <w:rFonts w:cs="Arial"/>
                <w:sz w:val="16"/>
                <w:szCs w:val="16"/>
              </w:rPr>
            </w:pPr>
            <w:r w:rsidRPr="006016EA">
              <w:rPr>
                <w:rFonts w:cs="Arial"/>
                <w:sz w:val="16"/>
                <w:szCs w:val="16"/>
                <w:highlight w:val="lightGray"/>
              </w:rPr>
              <w:t>0,996</w:t>
            </w:r>
          </w:p>
        </w:tc>
        <w:tc>
          <w:tcPr>
            <w:tcW w:w="993" w:type="dxa"/>
            <w:noWrap/>
            <w:hideMark/>
          </w:tcPr>
          <w:p w14:paraId="53155D0D" w14:textId="77777777" w:rsidR="006016EA" w:rsidRPr="006016EA" w:rsidRDefault="006016EA" w:rsidP="006016EA">
            <w:pPr>
              <w:rPr>
                <w:rFonts w:cs="Arial"/>
                <w:sz w:val="16"/>
                <w:szCs w:val="16"/>
              </w:rPr>
            </w:pPr>
            <w:r w:rsidRPr="006016EA">
              <w:rPr>
                <w:rFonts w:cs="Arial"/>
                <w:sz w:val="16"/>
                <w:szCs w:val="16"/>
              </w:rPr>
              <w:t>0,269</w:t>
            </w:r>
          </w:p>
        </w:tc>
      </w:tr>
      <w:tr w:rsidR="006016EA" w:rsidRPr="006016EA" w14:paraId="647DC0FE" w14:textId="77777777" w:rsidTr="006016EA">
        <w:tc>
          <w:tcPr>
            <w:tcW w:w="1711" w:type="dxa"/>
            <w:noWrap/>
            <w:hideMark/>
          </w:tcPr>
          <w:p w14:paraId="090826A8" w14:textId="77777777" w:rsidR="006016EA" w:rsidRPr="006016EA" w:rsidRDefault="006016EA" w:rsidP="006016EA">
            <w:pPr>
              <w:rPr>
                <w:rFonts w:cs="Arial"/>
                <w:sz w:val="16"/>
                <w:szCs w:val="16"/>
              </w:rPr>
            </w:pPr>
            <w:proofErr w:type="spellStart"/>
            <w:r w:rsidRPr="006016EA">
              <w:rPr>
                <w:rFonts w:cs="Arial"/>
                <w:sz w:val="16"/>
                <w:szCs w:val="16"/>
              </w:rPr>
              <w:t>exist_heat_pumps</w:t>
            </w:r>
            <w:proofErr w:type="spellEnd"/>
          </w:p>
        </w:tc>
        <w:tc>
          <w:tcPr>
            <w:tcW w:w="1124" w:type="dxa"/>
            <w:noWrap/>
            <w:hideMark/>
          </w:tcPr>
          <w:p w14:paraId="18BFB39B" w14:textId="77777777" w:rsidR="006016EA" w:rsidRPr="006016EA" w:rsidRDefault="006016EA" w:rsidP="006016EA">
            <w:pPr>
              <w:rPr>
                <w:rFonts w:cs="Arial"/>
                <w:sz w:val="16"/>
                <w:szCs w:val="16"/>
              </w:rPr>
            </w:pPr>
            <w:r w:rsidRPr="006016EA">
              <w:rPr>
                <w:rFonts w:cs="Arial"/>
                <w:sz w:val="16"/>
                <w:szCs w:val="16"/>
              </w:rPr>
              <w:t>-0,110</w:t>
            </w:r>
          </w:p>
        </w:tc>
        <w:tc>
          <w:tcPr>
            <w:tcW w:w="1134" w:type="dxa"/>
            <w:noWrap/>
            <w:hideMark/>
          </w:tcPr>
          <w:p w14:paraId="0D59FA1C" w14:textId="77777777" w:rsidR="006016EA" w:rsidRPr="006016EA" w:rsidRDefault="006016EA" w:rsidP="006016EA">
            <w:pPr>
              <w:rPr>
                <w:rFonts w:cs="Arial"/>
                <w:sz w:val="16"/>
                <w:szCs w:val="16"/>
              </w:rPr>
            </w:pPr>
            <w:r w:rsidRPr="006016EA">
              <w:rPr>
                <w:rFonts w:cs="Arial"/>
                <w:sz w:val="16"/>
                <w:szCs w:val="16"/>
              </w:rPr>
              <w:t>-0,348</w:t>
            </w:r>
          </w:p>
        </w:tc>
        <w:tc>
          <w:tcPr>
            <w:tcW w:w="1134" w:type="dxa"/>
            <w:noWrap/>
            <w:hideMark/>
          </w:tcPr>
          <w:p w14:paraId="4FDCAB82" w14:textId="77777777" w:rsidR="006016EA" w:rsidRPr="006016EA" w:rsidRDefault="006016EA" w:rsidP="006016EA">
            <w:pPr>
              <w:rPr>
                <w:rFonts w:cs="Arial"/>
                <w:sz w:val="16"/>
                <w:szCs w:val="16"/>
              </w:rPr>
            </w:pPr>
            <w:r w:rsidRPr="006016EA">
              <w:rPr>
                <w:rFonts w:cs="Arial"/>
                <w:sz w:val="16"/>
                <w:szCs w:val="16"/>
              </w:rPr>
              <w:t>-0,057</w:t>
            </w:r>
          </w:p>
        </w:tc>
        <w:tc>
          <w:tcPr>
            <w:tcW w:w="1134" w:type="dxa"/>
            <w:noWrap/>
            <w:hideMark/>
          </w:tcPr>
          <w:p w14:paraId="5FAC81ED" w14:textId="77777777" w:rsidR="006016EA" w:rsidRPr="006016EA" w:rsidRDefault="006016EA" w:rsidP="006016EA">
            <w:pPr>
              <w:rPr>
                <w:rFonts w:cs="Arial"/>
                <w:sz w:val="16"/>
                <w:szCs w:val="16"/>
              </w:rPr>
            </w:pPr>
            <w:r w:rsidRPr="006016EA">
              <w:rPr>
                <w:rFonts w:cs="Arial"/>
                <w:sz w:val="16"/>
                <w:szCs w:val="16"/>
              </w:rPr>
              <w:t>0,185</w:t>
            </w:r>
          </w:p>
        </w:tc>
        <w:tc>
          <w:tcPr>
            <w:tcW w:w="993" w:type="dxa"/>
            <w:noWrap/>
            <w:hideMark/>
          </w:tcPr>
          <w:p w14:paraId="780149EB" w14:textId="77777777" w:rsidR="006016EA" w:rsidRPr="006016EA" w:rsidRDefault="006016EA" w:rsidP="006016EA">
            <w:pPr>
              <w:rPr>
                <w:rFonts w:cs="Arial"/>
                <w:sz w:val="16"/>
                <w:szCs w:val="16"/>
              </w:rPr>
            </w:pPr>
            <w:r w:rsidRPr="006016EA">
              <w:rPr>
                <w:rFonts w:cs="Arial"/>
                <w:sz w:val="16"/>
                <w:szCs w:val="16"/>
                <w:highlight w:val="lightGray"/>
              </w:rPr>
              <w:t>0,666</w:t>
            </w:r>
          </w:p>
        </w:tc>
      </w:tr>
      <w:tr w:rsidR="006016EA" w:rsidRPr="006016EA" w14:paraId="4B2025CD" w14:textId="77777777" w:rsidTr="006016EA">
        <w:tc>
          <w:tcPr>
            <w:tcW w:w="1711" w:type="dxa"/>
            <w:noWrap/>
          </w:tcPr>
          <w:p w14:paraId="663E3BD5" w14:textId="0197B024" w:rsidR="006016EA" w:rsidRPr="006016EA" w:rsidRDefault="006016EA" w:rsidP="006016EA">
            <w:pPr>
              <w:jc w:val="left"/>
              <w:rPr>
                <w:rFonts w:cs="Arial"/>
                <w:sz w:val="16"/>
                <w:szCs w:val="16"/>
              </w:rPr>
            </w:pPr>
            <w:r w:rsidRPr="006016EA">
              <w:rPr>
                <w:rFonts w:cs="Arial"/>
                <w:sz w:val="16"/>
                <w:szCs w:val="16"/>
              </w:rPr>
              <w:t xml:space="preserve">Proportion </w:t>
            </w:r>
            <w:r>
              <w:rPr>
                <w:rFonts w:cs="Arial"/>
                <w:sz w:val="16"/>
                <w:szCs w:val="16"/>
              </w:rPr>
              <w:t xml:space="preserve">of </w:t>
            </w:r>
            <w:proofErr w:type="spellStart"/>
            <w:r>
              <w:rPr>
                <w:rFonts w:cs="Arial"/>
                <w:sz w:val="16"/>
                <w:szCs w:val="16"/>
              </w:rPr>
              <w:t>va</w:t>
            </w:r>
            <w:r w:rsidRPr="006016EA">
              <w:rPr>
                <w:rFonts w:cs="Arial"/>
                <w:sz w:val="16"/>
                <w:szCs w:val="16"/>
              </w:rPr>
              <w:t>r</w:t>
            </w:r>
            <w:r>
              <w:rPr>
                <w:rFonts w:cs="Arial"/>
                <w:sz w:val="16"/>
                <w:szCs w:val="16"/>
              </w:rPr>
              <w:t>iance</w:t>
            </w:r>
            <w:proofErr w:type="spellEnd"/>
            <w:r>
              <w:rPr>
                <w:rFonts w:cs="Arial"/>
                <w:sz w:val="16"/>
                <w:szCs w:val="16"/>
              </w:rPr>
              <w:t xml:space="preserve"> </w:t>
            </w:r>
            <w:proofErr w:type="spellStart"/>
            <w:r>
              <w:rPr>
                <w:rFonts w:cs="Arial"/>
                <w:sz w:val="16"/>
                <w:szCs w:val="16"/>
              </w:rPr>
              <w:t>explained</w:t>
            </w:r>
            <w:proofErr w:type="spellEnd"/>
            <w:r w:rsidRPr="006016EA">
              <w:rPr>
                <w:rFonts w:cs="Arial"/>
                <w:sz w:val="16"/>
                <w:szCs w:val="16"/>
              </w:rPr>
              <w:t xml:space="preserve">        </w:t>
            </w:r>
          </w:p>
        </w:tc>
        <w:tc>
          <w:tcPr>
            <w:tcW w:w="1124" w:type="dxa"/>
            <w:noWrap/>
          </w:tcPr>
          <w:p w14:paraId="7C8A51BC" w14:textId="334D15BE" w:rsidR="006016EA" w:rsidRPr="006016EA" w:rsidRDefault="006016EA" w:rsidP="006016EA">
            <w:pPr>
              <w:rPr>
                <w:rFonts w:cs="Arial"/>
                <w:sz w:val="16"/>
                <w:szCs w:val="16"/>
              </w:rPr>
            </w:pPr>
            <w:r w:rsidRPr="006016EA">
              <w:rPr>
                <w:rFonts w:cs="Arial"/>
                <w:sz w:val="16"/>
                <w:szCs w:val="16"/>
              </w:rPr>
              <w:t xml:space="preserve">0.12 </w:t>
            </w:r>
          </w:p>
        </w:tc>
        <w:tc>
          <w:tcPr>
            <w:tcW w:w="1134" w:type="dxa"/>
            <w:noWrap/>
          </w:tcPr>
          <w:p w14:paraId="616EA70F" w14:textId="0097B637" w:rsidR="006016EA" w:rsidRPr="006016EA" w:rsidRDefault="006016EA" w:rsidP="006016EA">
            <w:pPr>
              <w:rPr>
                <w:rFonts w:cs="Arial"/>
                <w:sz w:val="16"/>
                <w:szCs w:val="16"/>
              </w:rPr>
            </w:pPr>
            <w:r w:rsidRPr="006016EA">
              <w:rPr>
                <w:rFonts w:cs="Arial"/>
                <w:sz w:val="16"/>
                <w:szCs w:val="16"/>
              </w:rPr>
              <w:t xml:space="preserve">0.09 </w:t>
            </w:r>
          </w:p>
        </w:tc>
        <w:tc>
          <w:tcPr>
            <w:tcW w:w="1134" w:type="dxa"/>
            <w:noWrap/>
          </w:tcPr>
          <w:p w14:paraId="6D0BDDC3" w14:textId="5447DED0" w:rsidR="006016EA" w:rsidRPr="006016EA" w:rsidRDefault="006016EA" w:rsidP="006016EA">
            <w:pPr>
              <w:rPr>
                <w:rFonts w:cs="Arial"/>
                <w:sz w:val="16"/>
                <w:szCs w:val="16"/>
              </w:rPr>
            </w:pPr>
            <w:r w:rsidRPr="006016EA">
              <w:rPr>
                <w:rFonts w:cs="Arial"/>
                <w:sz w:val="16"/>
                <w:szCs w:val="16"/>
              </w:rPr>
              <w:t xml:space="preserve">0.09 </w:t>
            </w:r>
          </w:p>
        </w:tc>
        <w:tc>
          <w:tcPr>
            <w:tcW w:w="1134" w:type="dxa"/>
            <w:noWrap/>
          </w:tcPr>
          <w:p w14:paraId="7B477095" w14:textId="54E36D7B" w:rsidR="006016EA" w:rsidRPr="006016EA" w:rsidRDefault="006016EA" w:rsidP="006016EA">
            <w:pPr>
              <w:rPr>
                <w:rFonts w:cs="Arial"/>
                <w:sz w:val="16"/>
                <w:szCs w:val="16"/>
              </w:rPr>
            </w:pPr>
            <w:r w:rsidRPr="006016EA">
              <w:rPr>
                <w:rFonts w:cs="Arial"/>
                <w:sz w:val="16"/>
                <w:szCs w:val="16"/>
              </w:rPr>
              <w:t xml:space="preserve">0.08 </w:t>
            </w:r>
          </w:p>
        </w:tc>
        <w:tc>
          <w:tcPr>
            <w:tcW w:w="993" w:type="dxa"/>
            <w:noWrap/>
          </w:tcPr>
          <w:p w14:paraId="7EB6EFF2" w14:textId="33EBF049" w:rsidR="006016EA" w:rsidRPr="006016EA" w:rsidRDefault="006016EA" w:rsidP="006016EA">
            <w:pPr>
              <w:rPr>
                <w:rFonts w:cs="Arial"/>
                <w:sz w:val="16"/>
                <w:szCs w:val="16"/>
              </w:rPr>
            </w:pPr>
            <w:r w:rsidRPr="006016EA">
              <w:rPr>
                <w:rFonts w:cs="Arial"/>
                <w:sz w:val="16"/>
                <w:szCs w:val="16"/>
              </w:rPr>
              <w:t>0.06</w:t>
            </w:r>
          </w:p>
        </w:tc>
      </w:tr>
      <w:tr w:rsidR="006016EA" w:rsidRPr="006016EA" w14:paraId="5B4AD1B6" w14:textId="77777777" w:rsidTr="006016EA">
        <w:tc>
          <w:tcPr>
            <w:tcW w:w="1711" w:type="dxa"/>
            <w:noWrap/>
          </w:tcPr>
          <w:p w14:paraId="4E448B9D" w14:textId="55250B50" w:rsidR="006016EA" w:rsidRPr="006016EA" w:rsidRDefault="006016EA" w:rsidP="006016EA">
            <w:pPr>
              <w:rPr>
                <w:rFonts w:cs="Arial"/>
                <w:sz w:val="16"/>
                <w:szCs w:val="16"/>
              </w:rPr>
            </w:pPr>
            <w:proofErr w:type="spellStart"/>
            <w:r w:rsidRPr="006016EA">
              <w:rPr>
                <w:rFonts w:cs="Arial"/>
                <w:sz w:val="16"/>
                <w:szCs w:val="16"/>
              </w:rPr>
              <w:t>Cumulative</w:t>
            </w:r>
            <w:proofErr w:type="spellEnd"/>
            <w:r w:rsidRPr="006016EA">
              <w:rPr>
                <w:rFonts w:cs="Arial"/>
                <w:sz w:val="16"/>
                <w:szCs w:val="16"/>
              </w:rPr>
              <w:t xml:space="preserve"> Var        </w:t>
            </w:r>
          </w:p>
        </w:tc>
        <w:tc>
          <w:tcPr>
            <w:tcW w:w="1124" w:type="dxa"/>
            <w:noWrap/>
          </w:tcPr>
          <w:p w14:paraId="36ACDB9B" w14:textId="73801830" w:rsidR="006016EA" w:rsidRPr="006016EA" w:rsidRDefault="006016EA" w:rsidP="006016EA">
            <w:pPr>
              <w:rPr>
                <w:rFonts w:cs="Arial"/>
                <w:sz w:val="16"/>
                <w:szCs w:val="16"/>
              </w:rPr>
            </w:pPr>
            <w:r w:rsidRPr="006016EA">
              <w:rPr>
                <w:rFonts w:cs="Arial"/>
                <w:sz w:val="16"/>
                <w:szCs w:val="16"/>
              </w:rPr>
              <w:t xml:space="preserve">0.12 </w:t>
            </w:r>
          </w:p>
        </w:tc>
        <w:tc>
          <w:tcPr>
            <w:tcW w:w="1134" w:type="dxa"/>
            <w:noWrap/>
          </w:tcPr>
          <w:p w14:paraId="20718D6C" w14:textId="57F3B3A1" w:rsidR="006016EA" w:rsidRPr="006016EA" w:rsidRDefault="006016EA" w:rsidP="006016EA">
            <w:pPr>
              <w:rPr>
                <w:rFonts w:cs="Arial"/>
                <w:sz w:val="16"/>
                <w:szCs w:val="16"/>
              </w:rPr>
            </w:pPr>
            <w:r w:rsidRPr="006016EA">
              <w:rPr>
                <w:rFonts w:cs="Arial"/>
                <w:sz w:val="16"/>
                <w:szCs w:val="16"/>
              </w:rPr>
              <w:t xml:space="preserve">0.22 </w:t>
            </w:r>
          </w:p>
        </w:tc>
        <w:tc>
          <w:tcPr>
            <w:tcW w:w="1134" w:type="dxa"/>
            <w:noWrap/>
          </w:tcPr>
          <w:p w14:paraId="3F4B1FFB" w14:textId="2FD08936" w:rsidR="006016EA" w:rsidRPr="006016EA" w:rsidRDefault="006016EA" w:rsidP="006016EA">
            <w:pPr>
              <w:rPr>
                <w:rFonts w:cs="Arial"/>
                <w:sz w:val="16"/>
                <w:szCs w:val="16"/>
              </w:rPr>
            </w:pPr>
            <w:r w:rsidRPr="006016EA">
              <w:rPr>
                <w:rFonts w:cs="Arial"/>
                <w:sz w:val="16"/>
                <w:szCs w:val="16"/>
              </w:rPr>
              <w:t xml:space="preserve">0.30 </w:t>
            </w:r>
          </w:p>
        </w:tc>
        <w:tc>
          <w:tcPr>
            <w:tcW w:w="1134" w:type="dxa"/>
            <w:noWrap/>
          </w:tcPr>
          <w:p w14:paraId="4016BF6B" w14:textId="07DA1337" w:rsidR="006016EA" w:rsidRPr="006016EA" w:rsidRDefault="006016EA" w:rsidP="006016EA">
            <w:pPr>
              <w:rPr>
                <w:rFonts w:cs="Arial"/>
                <w:sz w:val="16"/>
                <w:szCs w:val="16"/>
              </w:rPr>
            </w:pPr>
            <w:r w:rsidRPr="006016EA">
              <w:rPr>
                <w:rFonts w:cs="Arial"/>
                <w:sz w:val="16"/>
                <w:szCs w:val="16"/>
              </w:rPr>
              <w:t xml:space="preserve">0.39 </w:t>
            </w:r>
          </w:p>
        </w:tc>
        <w:tc>
          <w:tcPr>
            <w:tcW w:w="993" w:type="dxa"/>
            <w:noWrap/>
          </w:tcPr>
          <w:p w14:paraId="43BA408A" w14:textId="541FE8F1" w:rsidR="006016EA" w:rsidRPr="006016EA" w:rsidRDefault="006016EA" w:rsidP="006016EA">
            <w:pPr>
              <w:rPr>
                <w:rFonts w:cs="Arial"/>
                <w:sz w:val="16"/>
                <w:szCs w:val="16"/>
              </w:rPr>
            </w:pPr>
            <w:r w:rsidRPr="006016EA">
              <w:rPr>
                <w:rFonts w:cs="Arial"/>
                <w:sz w:val="16"/>
                <w:szCs w:val="16"/>
              </w:rPr>
              <w:t>0.45</w:t>
            </w:r>
          </w:p>
        </w:tc>
      </w:tr>
    </w:tbl>
    <w:p w14:paraId="32989819" w14:textId="37E1EEC6" w:rsidR="004F3320" w:rsidRDefault="004F3320" w:rsidP="00227125">
      <w:pPr>
        <w:rPr>
          <w:lang w:val="en-US"/>
        </w:rPr>
      </w:pPr>
    </w:p>
    <w:p w14:paraId="27A1FA20" w14:textId="06CE9FFA" w:rsidR="002946B8" w:rsidRPr="00D94A5A" w:rsidRDefault="0007624D" w:rsidP="00227125">
      <w:pPr>
        <w:rPr>
          <w:lang w:val="en-US"/>
        </w:rPr>
      </w:pPr>
      <w:r>
        <w:rPr>
          <w:lang w:val="en-US"/>
        </w:rPr>
        <w:t>The results of the factor analysis show that indeed some variables may have underlying factors, which helps to reduce the number of variables in such analyses. T</w:t>
      </w:r>
      <w:r w:rsidR="001914DB">
        <w:rPr>
          <w:lang w:val="en-US"/>
        </w:rPr>
        <w:t>o identify which of these factors are associated with each the decisions – insulation, double-glazing of windows, PV adoption and heat pump purchase</w:t>
      </w:r>
      <w:r>
        <w:rPr>
          <w:lang w:val="en-US"/>
        </w:rPr>
        <w:t>, factors scores will be created and used for regression</w:t>
      </w:r>
      <w:r w:rsidR="001914DB">
        <w:rPr>
          <w:lang w:val="en-US"/>
        </w:rPr>
        <w:t>.</w:t>
      </w:r>
      <w:r>
        <w:rPr>
          <w:lang w:val="en-US"/>
        </w:rPr>
        <w:t xml:space="preserve"> </w:t>
      </w:r>
      <w:r>
        <w:rPr>
          <w:rFonts w:cs="Arial"/>
          <w:szCs w:val="20"/>
          <w:lang w:val="en-US"/>
        </w:rPr>
        <w:t>The identification of the key factors will assist the i</w:t>
      </w:r>
      <w:r w:rsidRPr="00401B65">
        <w:rPr>
          <w:rFonts w:cs="Arial"/>
          <w:szCs w:val="20"/>
          <w:lang w:val="en-US"/>
        </w:rPr>
        <w:t>ntegration of social aspects into energy models (e.g. agent-based models)</w:t>
      </w:r>
      <w:r>
        <w:rPr>
          <w:rFonts w:cs="Arial"/>
          <w:szCs w:val="20"/>
          <w:lang w:val="en-US"/>
        </w:rPr>
        <w:t xml:space="preserve">. </w:t>
      </w:r>
    </w:p>
    <w:p w14:paraId="0C0574B2" w14:textId="4AEF2DC8" w:rsidR="005E4D4F" w:rsidRPr="00D94A5A" w:rsidRDefault="00A76CF2" w:rsidP="00A156E4">
      <w:pPr>
        <w:pStyle w:val="Ueberschrift"/>
        <w:rPr>
          <w:lang w:val="en-US"/>
        </w:rPr>
      </w:pPr>
      <w:r>
        <w:rPr>
          <w:lang w:val="en-US"/>
        </w:rPr>
        <w:t>References</w:t>
      </w:r>
    </w:p>
    <w:p w14:paraId="5D31AEBC" w14:textId="316DB989" w:rsidR="009F3B64" w:rsidRPr="009F3B64" w:rsidRDefault="0054258B" w:rsidP="009F3B64">
      <w:pPr>
        <w:widowControl w:val="0"/>
        <w:autoSpaceDE w:val="0"/>
        <w:autoSpaceDN w:val="0"/>
        <w:adjustRightInd w:val="0"/>
        <w:ind w:left="640" w:hanging="640"/>
        <w:rPr>
          <w:rFonts w:cs="Arial"/>
          <w:noProof/>
          <w:sz w:val="18"/>
        </w:rPr>
      </w:pPr>
      <w:r w:rsidRPr="00356805">
        <w:rPr>
          <w:sz w:val="18"/>
          <w:lang w:val="en-US"/>
        </w:rPr>
        <w:fldChar w:fldCharType="begin" w:fldLock="1"/>
      </w:r>
      <w:r w:rsidRPr="00356805">
        <w:rPr>
          <w:sz w:val="18"/>
          <w:lang w:val="en-US"/>
        </w:rPr>
        <w:instrText xml:space="preserve">ADDIN Mendeley Bibliography CSL_BIBLIOGRAPHY </w:instrText>
      </w:r>
      <w:r w:rsidRPr="00356805">
        <w:rPr>
          <w:sz w:val="18"/>
          <w:lang w:val="en-US"/>
        </w:rPr>
        <w:fldChar w:fldCharType="separate"/>
      </w:r>
      <w:r w:rsidR="009F3B64" w:rsidRPr="009F3B64">
        <w:rPr>
          <w:rFonts w:cs="Arial"/>
          <w:noProof/>
          <w:sz w:val="18"/>
        </w:rPr>
        <w:t>[1]</w:t>
      </w:r>
      <w:r w:rsidR="009F3B64" w:rsidRPr="009F3B64">
        <w:rPr>
          <w:rFonts w:cs="Arial"/>
          <w:noProof/>
          <w:sz w:val="18"/>
        </w:rPr>
        <w:tab/>
        <w:t xml:space="preserve">S. Halleck Vega, E. van Leeuwen, and N. van Twillert, “Uptake of residential energy efficiency measures and renewable energy: Do spatial factors matter?,” </w:t>
      </w:r>
      <w:r w:rsidR="009F3B64" w:rsidRPr="009F3B64">
        <w:rPr>
          <w:rFonts w:cs="Arial"/>
          <w:i/>
          <w:iCs/>
          <w:noProof/>
          <w:sz w:val="18"/>
        </w:rPr>
        <w:t>Energy Policy</w:t>
      </w:r>
      <w:r w:rsidR="009F3B64" w:rsidRPr="009F3B64">
        <w:rPr>
          <w:rFonts w:cs="Arial"/>
          <w:noProof/>
          <w:sz w:val="18"/>
        </w:rPr>
        <w:t>, vol. 160, p. 112659, Jan. 2022, doi: 10.1016/j.enpol.2021.112659.</w:t>
      </w:r>
    </w:p>
    <w:p w14:paraId="560938C3" w14:textId="77777777" w:rsidR="009F3B64" w:rsidRPr="009F3B64" w:rsidRDefault="009F3B64" w:rsidP="009F3B64">
      <w:pPr>
        <w:widowControl w:val="0"/>
        <w:autoSpaceDE w:val="0"/>
        <w:autoSpaceDN w:val="0"/>
        <w:adjustRightInd w:val="0"/>
        <w:ind w:left="640" w:hanging="640"/>
        <w:rPr>
          <w:rFonts w:cs="Arial"/>
          <w:noProof/>
          <w:sz w:val="18"/>
        </w:rPr>
      </w:pPr>
      <w:r w:rsidRPr="009F3B64">
        <w:rPr>
          <w:rFonts w:cs="Arial"/>
          <w:noProof/>
          <w:sz w:val="18"/>
        </w:rPr>
        <w:t>[2]</w:t>
      </w:r>
      <w:r w:rsidRPr="009F3B64">
        <w:rPr>
          <w:rFonts w:cs="Arial"/>
          <w:noProof/>
          <w:sz w:val="18"/>
        </w:rPr>
        <w:tab/>
        <w:t xml:space="preserve">S. Ebrahimigharehbaghi, Q. K. Qian, F. M. Meijer, and H. J. Visscher, “Unravelling Dutch homeowners’ behaviour towards energy efficiency renovations: What drives and hinders their decision-making?,” </w:t>
      </w:r>
      <w:r w:rsidRPr="009F3B64">
        <w:rPr>
          <w:rFonts w:cs="Arial"/>
          <w:i/>
          <w:iCs/>
          <w:noProof/>
          <w:sz w:val="18"/>
        </w:rPr>
        <w:t>Energy Policy</w:t>
      </w:r>
      <w:r w:rsidRPr="009F3B64">
        <w:rPr>
          <w:rFonts w:cs="Arial"/>
          <w:noProof/>
          <w:sz w:val="18"/>
        </w:rPr>
        <w:t>, vol. 129, pp. 546–561, Jun. 2019, doi: 10.1016/j.enpol.2019.02.046.</w:t>
      </w:r>
    </w:p>
    <w:p w14:paraId="3AD38235" w14:textId="77777777" w:rsidR="009F3B64" w:rsidRPr="009F3B64" w:rsidRDefault="009F3B64" w:rsidP="009F3B64">
      <w:pPr>
        <w:widowControl w:val="0"/>
        <w:autoSpaceDE w:val="0"/>
        <w:autoSpaceDN w:val="0"/>
        <w:adjustRightInd w:val="0"/>
        <w:ind w:left="640" w:hanging="640"/>
        <w:rPr>
          <w:rFonts w:cs="Arial"/>
          <w:noProof/>
          <w:sz w:val="18"/>
        </w:rPr>
      </w:pPr>
      <w:r w:rsidRPr="009F3B64">
        <w:rPr>
          <w:rFonts w:cs="Arial"/>
          <w:noProof/>
          <w:sz w:val="18"/>
        </w:rPr>
        <w:t>[3]</w:t>
      </w:r>
      <w:r w:rsidRPr="009F3B64">
        <w:rPr>
          <w:rFonts w:cs="Arial"/>
          <w:noProof/>
          <w:sz w:val="18"/>
        </w:rPr>
        <w:tab/>
        <w:t xml:space="preserve">S. Ebrahimigharehbaghi, Q. K. Qian, G. de Vries, and H. J. Visscher, “Identification of the behavioural factors in the decision-making processes of the energy efficiency renovations: Dutch homeowners,” </w:t>
      </w:r>
      <w:r w:rsidRPr="009F3B64">
        <w:rPr>
          <w:rFonts w:cs="Arial"/>
          <w:i/>
          <w:iCs/>
          <w:noProof/>
          <w:sz w:val="18"/>
        </w:rPr>
        <w:t>Build. Res. Inf.</w:t>
      </w:r>
      <w:r w:rsidRPr="009F3B64">
        <w:rPr>
          <w:rFonts w:cs="Arial"/>
          <w:noProof/>
          <w:sz w:val="18"/>
        </w:rPr>
        <w:t>, pp. 1–25, Jun. 2021, doi: 10.1080/09613218.2021.1929808.</w:t>
      </w:r>
    </w:p>
    <w:p w14:paraId="5F36FE46" w14:textId="77777777" w:rsidR="009F3B64" w:rsidRPr="009F3B64" w:rsidRDefault="009F3B64" w:rsidP="009F3B64">
      <w:pPr>
        <w:widowControl w:val="0"/>
        <w:autoSpaceDE w:val="0"/>
        <w:autoSpaceDN w:val="0"/>
        <w:adjustRightInd w:val="0"/>
        <w:ind w:left="640" w:hanging="640"/>
        <w:rPr>
          <w:rFonts w:cs="Arial"/>
          <w:noProof/>
          <w:sz w:val="18"/>
        </w:rPr>
      </w:pPr>
      <w:r w:rsidRPr="009F3B64">
        <w:rPr>
          <w:rFonts w:cs="Arial"/>
          <w:noProof/>
          <w:sz w:val="18"/>
        </w:rPr>
        <w:t>[4]</w:t>
      </w:r>
      <w:r w:rsidRPr="009F3B64">
        <w:rPr>
          <w:rFonts w:cs="Arial"/>
          <w:noProof/>
          <w:sz w:val="18"/>
        </w:rPr>
        <w:tab/>
        <w:t xml:space="preserve">A. Basilevsky, </w:t>
      </w:r>
      <w:r w:rsidRPr="009F3B64">
        <w:rPr>
          <w:rFonts w:cs="Arial"/>
          <w:i/>
          <w:iCs/>
          <w:noProof/>
          <w:sz w:val="18"/>
        </w:rPr>
        <w:t>Statistical Factor Analysis and Related Methods</w:t>
      </w:r>
      <w:r w:rsidRPr="009F3B64">
        <w:rPr>
          <w:rFonts w:cs="Arial"/>
          <w:noProof/>
          <w:sz w:val="18"/>
        </w:rPr>
        <w:t>. Winnipeg, Manitoba: John Wiley &amp; Sons, Inc., 1994.</w:t>
      </w:r>
    </w:p>
    <w:p w14:paraId="5BC5A728" w14:textId="77777777" w:rsidR="009F3B64" w:rsidRPr="009F3B64" w:rsidRDefault="009F3B64" w:rsidP="009F3B64">
      <w:pPr>
        <w:widowControl w:val="0"/>
        <w:autoSpaceDE w:val="0"/>
        <w:autoSpaceDN w:val="0"/>
        <w:adjustRightInd w:val="0"/>
        <w:ind w:left="640" w:hanging="640"/>
        <w:rPr>
          <w:rFonts w:cs="Arial"/>
          <w:noProof/>
          <w:sz w:val="18"/>
        </w:rPr>
      </w:pPr>
      <w:r w:rsidRPr="009F3B64">
        <w:rPr>
          <w:rFonts w:cs="Arial"/>
          <w:noProof/>
          <w:sz w:val="18"/>
        </w:rPr>
        <w:t>[5]</w:t>
      </w:r>
      <w:r w:rsidRPr="009F3B64">
        <w:rPr>
          <w:rFonts w:cs="Arial"/>
          <w:noProof/>
          <w:sz w:val="18"/>
        </w:rPr>
        <w:tab/>
        <w:t>W. Revelle, “psych: Procedures for Psychological, Psychometric, and Personality Research. R package version 2.2.9, https://CRAN.R-project.org/package=psych.” Northwestern University, Evanston, Illinois, 2022.</w:t>
      </w:r>
    </w:p>
    <w:p w14:paraId="48AAA0AB" w14:textId="77777777" w:rsidR="009F3B64" w:rsidRPr="009F3B64" w:rsidRDefault="009F3B64" w:rsidP="009F3B64">
      <w:pPr>
        <w:widowControl w:val="0"/>
        <w:autoSpaceDE w:val="0"/>
        <w:autoSpaceDN w:val="0"/>
        <w:adjustRightInd w:val="0"/>
        <w:ind w:left="640" w:hanging="640"/>
        <w:rPr>
          <w:rFonts w:cs="Arial"/>
          <w:noProof/>
          <w:sz w:val="18"/>
        </w:rPr>
      </w:pPr>
      <w:r w:rsidRPr="009F3B64">
        <w:rPr>
          <w:rFonts w:cs="Arial"/>
          <w:noProof/>
          <w:sz w:val="18"/>
        </w:rPr>
        <w:t>[6]</w:t>
      </w:r>
      <w:r w:rsidRPr="009F3B64">
        <w:rPr>
          <w:rFonts w:cs="Arial"/>
          <w:noProof/>
          <w:sz w:val="18"/>
        </w:rPr>
        <w:tab/>
        <w:t xml:space="preserve">H. F. Kaiser, “An index of factorial simplicity,” </w:t>
      </w:r>
      <w:r w:rsidRPr="009F3B64">
        <w:rPr>
          <w:rFonts w:cs="Arial"/>
          <w:i/>
          <w:iCs/>
          <w:noProof/>
          <w:sz w:val="18"/>
        </w:rPr>
        <w:t>Psychometrika</w:t>
      </w:r>
      <w:r w:rsidRPr="009F3B64">
        <w:rPr>
          <w:rFonts w:cs="Arial"/>
          <w:noProof/>
          <w:sz w:val="18"/>
        </w:rPr>
        <w:t>, vol. 39, pp. 31–36, 1974.</w:t>
      </w:r>
    </w:p>
    <w:p w14:paraId="54E2929E" w14:textId="77777777" w:rsidR="009F3B64" w:rsidRPr="009F3B64" w:rsidRDefault="009F3B64" w:rsidP="009F3B64">
      <w:pPr>
        <w:widowControl w:val="0"/>
        <w:autoSpaceDE w:val="0"/>
        <w:autoSpaceDN w:val="0"/>
        <w:adjustRightInd w:val="0"/>
        <w:ind w:left="640" w:hanging="640"/>
        <w:rPr>
          <w:rFonts w:cs="Arial"/>
          <w:noProof/>
          <w:sz w:val="18"/>
        </w:rPr>
      </w:pPr>
      <w:r w:rsidRPr="009F3B64">
        <w:rPr>
          <w:rFonts w:cs="Arial"/>
          <w:noProof/>
          <w:sz w:val="18"/>
        </w:rPr>
        <w:t>[7]</w:t>
      </w:r>
      <w:r w:rsidRPr="009F3B64">
        <w:rPr>
          <w:rFonts w:cs="Arial"/>
          <w:noProof/>
          <w:sz w:val="18"/>
        </w:rPr>
        <w:tab/>
        <w:t xml:space="preserve">J. L. Horn, “A rationale and test for the number of factors in factor analysis,” </w:t>
      </w:r>
      <w:r w:rsidRPr="009F3B64">
        <w:rPr>
          <w:rFonts w:cs="Arial"/>
          <w:i/>
          <w:iCs/>
          <w:noProof/>
          <w:sz w:val="18"/>
        </w:rPr>
        <w:t>Psychom. 1965 302</w:t>
      </w:r>
      <w:r w:rsidRPr="009F3B64">
        <w:rPr>
          <w:rFonts w:cs="Arial"/>
          <w:noProof/>
          <w:sz w:val="18"/>
        </w:rPr>
        <w:t>, vol. 30, no. 2, pp. 179–185, Jun. 1965, doi: 10.1007/BF02289447.</w:t>
      </w:r>
    </w:p>
    <w:p w14:paraId="2F0DAADC" w14:textId="3CFF83BD" w:rsidR="00564569" w:rsidRPr="00356805" w:rsidRDefault="0054258B" w:rsidP="009F3B64">
      <w:pPr>
        <w:widowControl w:val="0"/>
        <w:autoSpaceDE w:val="0"/>
        <w:autoSpaceDN w:val="0"/>
        <w:adjustRightInd w:val="0"/>
        <w:ind w:left="640" w:hanging="640"/>
        <w:rPr>
          <w:sz w:val="18"/>
          <w:lang w:val="en-US"/>
        </w:rPr>
      </w:pPr>
      <w:r w:rsidRPr="00356805">
        <w:rPr>
          <w:sz w:val="18"/>
          <w:lang w:val="en-US"/>
        </w:rPr>
        <w:fldChar w:fldCharType="end"/>
      </w:r>
    </w:p>
    <w:p w14:paraId="24C120A5" w14:textId="77777777" w:rsidR="00564569" w:rsidRPr="00D94A5A" w:rsidRDefault="00564569" w:rsidP="00227125">
      <w:pPr>
        <w:pStyle w:val="Literatur"/>
        <w:rPr>
          <w:lang w:val="en-US"/>
        </w:rPr>
      </w:pPr>
    </w:p>
    <w:sectPr w:rsidR="00564569" w:rsidRPr="00D94A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655FA" w14:textId="77777777" w:rsidR="00D277ED" w:rsidRDefault="00D277ED">
      <w:r>
        <w:separator/>
      </w:r>
    </w:p>
  </w:endnote>
  <w:endnote w:type="continuationSeparator" w:id="0">
    <w:p w14:paraId="0D1374DD" w14:textId="77777777" w:rsidR="00D277ED" w:rsidRDefault="00D2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176C" w14:textId="77777777" w:rsidR="00D277ED" w:rsidRDefault="00D277ED">
      <w:r>
        <w:separator/>
      </w:r>
    </w:p>
  </w:footnote>
  <w:footnote w:type="continuationSeparator" w:id="0">
    <w:p w14:paraId="74512D21" w14:textId="77777777" w:rsidR="00D277ED" w:rsidRDefault="00D277ED">
      <w:r>
        <w:continuationSeparator/>
      </w:r>
    </w:p>
  </w:footnote>
  <w:footnote w:id="1">
    <w:p w14:paraId="1C3D7611" w14:textId="7CCAF553" w:rsidR="00401B65" w:rsidRDefault="00D53E86" w:rsidP="00401B65">
      <w:pPr>
        <w:rPr>
          <w:rFonts w:asciiTheme="majorHAnsi" w:eastAsiaTheme="minorEastAsia" w:hAnsiTheme="majorHAnsi" w:cstheme="majorHAnsi"/>
          <w:noProof/>
          <w:szCs w:val="20"/>
          <w:lang w:eastAsia="en-GB"/>
        </w:rPr>
      </w:pPr>
      <w:r w:rsidRPr="00A115D2">
        <w:rPr>
          <w:rStyle w:val="FootnoteReference"/>
        </w:rPr>
        <w:footnoteRef/>
      </w:r>
      <w:r w:rsidRPr="00D53E86">
        <w:t xml:space="preserve"> </w:t>
      </w:r>
      <w:r w:rsidR="00401B65">
        <w:rPr>
          <w:rFonts w:asciiTheme="majorHAnsi" w:eastAsiaTheme="minorEastAsia" w:hAnsiTheme="majorHAnsi" w:cstheme="majorHAnsi"/>
          <w:noProof/>
          <w:color w:val="000000"/>
          <w:szCs w:val="20"/>
          <w:lang w:eastAsia="en-GB"/>
        </w:rPr>
        <w:t xml:space="preserve">Energy Economics Group (EEG), Gusshausstrasse 25/CF0451, A - 1040 Vienna, Austria; </w:t>
      </w:r>
      <w:r w:rsidR="00401B65">
        <w:rPr>
          <w:rFonts w:asciiTheme="majorHAnsi" w:eastAsiaTheme="minorEastAsia" w:hAnsiTheme="majorHAnsi" w:cstheme="majorHAnsi"/>
          <w:noProof/>
          <w:szCs w:val="20"/>
          <w:lang w:eastAsia="en-GB"/>
        </w:rPr>
        <w:t xml:space="preserve">+43 (0) 1 58801 370336, </w:t>
      </w:r>
      <w:hyperlink r:id="rId1" w:history="1">
        <w:r w:rsidR="00401B65">
          <w:rPr>
            <w:rStyle w:val="Hyperlink"/>
            <w:rFonts w:asciiTheme="majorHAnsi" w:eastAsiaTheme="minorEastAsia" w:hAnsiTheme="majorHAnsi" w:cstheme="majorHAnsi"/>
            <w:noProof/>
            <w:color w:val="0563C1"/>
            <w:szCs w:val="20"/>
            <w:lang w:eastAsia="en-GB"/>
          </w:rPr>
          <w:t>akhatova@eeg.tuwien.ac.at</w:t>
        </w:r>
      </w:hyperlink>
    </w:p>
    <w:p w14:paraId="1DD27DBA" w14:textId="50E038CA" w:rsidR="00D53E86" w:rsidRPr="00FB69AE" w:rsidRDefault="00D53E86" w:rsidP="002014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sDAzM7M0NzI2MjdQ0lEKTi0uzszPAykwrgUADkAfKiwAAAA="/>
  </w:docVars>
  <w:rsids>
    <w:rsidRoot w:val="005E4D4F"/>
    <w:rsid w:val="00001C84"/>
    <w:rsid w:val="00010E92"/>
    <w:rsid w:val="0007624D"/>
    <w:rsid w:val="00083B3B"/>
    <w:rsid w:val="000D2469"/>
    <w:rsid w:val="001375F7"/>
    <w:rsid w:val="00147383"/>
    <w:rsid w:val="001914DB"/>
    <w:rsid w:val="002014D3"/>
    <w:rsid w:val="00227125"/>
    <w:rsid w:val="00262FD5"/>
    <w:rsid w:val="00283733"/>
    <w:rsid w:val="002946B8"/>
    <w:rsid w:val="002A2C19"/>
    <w:rsid w:val="002F63DF"/>
    <w:rsid w:val="00321B37"/>
    <w:rsid w:val="00335E63"/>
    <w:rsid w:val="00350F98"/>
    <w:rsid w:val="00356805"/>
    <w:rsid w:val="003655AD"/>
    <w:rsid w:val="00372D53"/>
    <w:rsid w:val="00385A87"/>
    <w:rsid w:val="003B676F"/>
    <w:rsid w:val="003C20EF"/>
    <w:rsid w:val="003C28FE"/>
    <w:rsid w:val="00401B65"/>
    <w:rsid w:val="0045724E"/>
    <w:rsid w:val="00483B87"/>
    <w:rsid w:val="00497775"/>
    <w:rsid w:val="004B21BB"/>
    <w:rsid w:val="004F3320"/>
    <w:rsid w:val="005021BC"/>
    <w:rsid w:val="005405CB"/>
    <w:rsid w:val="0054258B"/>
    <w:rsid w:val="00564569"/>
    <w:rsid w:val="005B1ADB"/>
    <w:rsid w:val="005E4523"/>
    <w:rsid w:val="005E4D4F"/>
    <w:rsid w:val="006016EA"/>
    <w:rsid w:val="00623017"/>
    <w:rsid w:val="0063291C"/>
    <w:rsid w:val="0066196F"/>
    <w:rsid w:val="006B6F45"/>
    <w:rsid w:val="006D3554"/>
    <w:rsid w:val="007378C8"/>
    <w:rsid w:val="00741EC0"/>
    <w:rsid w:val="00803917"/>
    <w:rsid w:val="00813DA8"/>
    <w:rsid w:val="00865D3C"/>
    <w:rsid w:val="008815E7"/>
    <w:rsid w:val="0089184A"/>
    <w:rsid w:val="008B410B"/>
    <w:rsid w:val="008C7904"/>
    <w:rsid w:val="008E73EE"/>
    <w:rsid w:val="009014B5"/>
    <w:rsid w:val="009410D4"/>
    <w:rsid w:val="009555D3"/>
    <w:rsid w:val="00982596"/>
    <w:rsid w:val="009F3B64"/>
    <w:rsid w:val="00A07737"/>
    <w:rsid w:val="00A156E4"/>
    <w:rsid w:val="00A2010D"/>
    <w:rsid w:val="00A6148D"/>
    <w:rsid w:val="00A76CF2"/>
    <w:rsid w:val="00AA2938"/>
    <w:rsid w:val="00AF59B5"/>
    <w:rsid w:val="00BB66AF"/>
    <w:rsid w:val="00BF05FA"/>
    <w:rsid w:val="00CE1A70"/>
    <w:rsid w:val="00D277ED"/>
    <w:rsid w:val="00D53E86"/>
    <w:rsid w:val="00D736F8"/>
    <w:rsid w:val="00D94A5A"/>
    <w:rsid w:val="00E32B7F"/>
    <w:rsid w:val="00E44436"/>
    <w:rsid w:val="00E520E6"/>
    <w:rsid w:val="00E57FE8"/>
    <w:rsid w:val="00E63AA7"/>
    <w:rsid w:val="00EA6E06"/>
    <w:rsid w:val="00EC6BC9"/>
    <w:rsid w:val="00F9483A"/>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125"/>
    <w:pPr>
      <w:jc w:val="both"/>
    </w:pPr>
    <w:rPr>
      <w:rFonts w:ascii="Arial" w:hAnsi="Arial"/>
      <w:szCs w:val="24"/>
      <w:lang w:val="de-D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uiPriority w:val="9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paragraph" w:styleId="Header">
    <w:name w:val="header"/>
    <w:basedOn w:val="Normal"/>
    <w:link w:val="HeaderChar"/>
    <w:uiPriority w:val="99"/>
    <w:unhideWhenUsed/>
    <w:rsid w:val="00401B65"/>
    <w:pPr>
      <w:tabs>
        <w:tab w:val="center" w:pos="4536"/>
        <w:tab w:val="right" w:pos="9072"/>
      </w:tabs>
    </w:pPr>
  </w:style>
  <w:style w:type="character" w:customStyle="1" w:styleId="HeaderChar">
    <w:name w:val="Header Char"/>
    <w:basedOn w:val="DefaultParagraphFont"/>
    <w:link w:val="Header"/>
    <w:uiPriority w:val="99"/>
    <w:rsid w:val="00401B65"/>
    <w:rPr>
      <w:rFonts w:ascii="Arial" w:hAnsi="Arial"/>
      <w:szCs w:val="24"/>
      <w:lang w:val="de-DE" w:eastAsia="ko-KR"/>
    </w:rPr>
  </w:style>
  <w:style w:type="paragraph" w:styleId="Footer">
    <w:name w:val="footer"/>
    <w:basedOn w:val="Normal"/>
    <w:link w:val="FooterChar"/>
    <w:uiPriority w:val="99"/>
    <w:unhideWhenUsed/>
    <w:rsid w:val="00401B65"/>
    <w:pPr>
      <w:tabs>
        <w:tab w:val="center" w:pos="4536"/>
        <w:tab w:val="right" w:pos="9072"/>
      </w:tabs>
    </w:pPr>
  </w:style>
  <w:style w:type="character" w:customStyle="1" w:styleId="FooterChar">
    <w:name w:val="Footer Char"/>
    <w:basedOn w:val="DefaultParagraphFont"/>
    <w:link w:val="Footer"/>
    <w:uiPriority w:val="99"/>
    <w:rsid w:val="00401B65"/>
    <w:rPr>
      <w:rFonts w:ascii="Arial" w:hAnsi="Arial"/>
      <w:szCs w:val="24"/>
      <w:lang w:val="de-DE" w:eastAsia="ko-KR"/>
    </w:rPr>
  </w:style>
  <w:style w:type="character" w:styleId="CommentReference">
    <w:name w:val="annotation reference"/>
    <w:basedOn w:val="DefaultParagraphFont"/>
    <w:uiPriority w:val="99"/>
    <w:semiHidden/>
    <w:unhideWhenUsed/>
    <w:rsid w:val="00401B65"/>
    <w:rPr>
      <w:sz w:val="16"/>
      <w:szCs w:val="16"/>
    </w:rPr>
  </w:style>
  <w:style w:type="paragraph" w:styleId="CommentText">
    <w:name w:val="annotation text"/>
    <w:basedOn w:val="Normal"/>
    <w:link w:val="CommentTextChar"/>
    <w:uiPriority w:val="99"/>
    <w:semiHidden/>
    <w:unhideWhenUsed/>
    <w:rsid w:val="00401B65"/>
    <w:rPr>
      <w:szCs w:val="20"/>
    </w:rPr>
  </w:style>
  <w:style w:type="character" w:customStyle="1" w:styleId="CommentTextChar">
    <w:name w:val="Comment Text Char"/>
    <w:basedOn w:val="DefaultParagraphFont"/>
    <w:link w:val="CommentText"/>
    <w:uiPriority w:val="99"/>
    <w:semiHidden/>
    <w:rsid w:val="00401B65"/>
    <w:rPr>
      <w:rFonts w:ascii="Arial" w:hAnsi="Arial"/>
      <w:lang w:val="de-DE" w:eastAsia="ko-KR"/>
    </w:rPr>
  </w:style>
  <w:style w:type="paragraph" w:styleId="CommentSubject">
    <w:name w:val="annotation subject"/>
    <w:basedOn w:val="CommentText"/>
    <w:next w:val="CommentText"/>
    <w:link w:val="CommentSubjectChar"/>
    <w:uiPriority w:val="99"/>
    <w:semiHidden/>
    <w:unhideWhenUsed/>
    <w:rsid w:val="00401B65"/>
    <w:rPr>
      <w:b/>
      <w:bCs/>
    </w:rPr>
  </w:style>
  <w:style w:type="character" w:customStyle="1" w:styleId="CommentSubjectChar">
    <w:name w:val="Comment Subject Char"/>
    <w:basedOn w:val="CommentTextChar"/>
    <w:link w:val="CommentSubject"/>
    <w:uiPriority w:val="99"/>
    <w:semiHidden/>
    <w:rsid w:val="00401B65"/>
    <w:rPr>
      <w:rFonts w:ascii="Arial" w:hAnsi="Arial"/>
      <w:b/>
      <w:bCs/>
      <w:lang w:val="de-DE" w:eastAsia="ko-KR"/>
    </w:rPr>
  </w:style>
  <w:style w:type="paragraph" w:styleId="BalloonText">
    <w:name w:val="Balloon Text"/>
    <w:basedOn w:val="Normal"/>
    <w:link w:val="BalloonTextChar"/>
    <w:uiPriority w:val="99"/>
    <w:semiHidden/>
    <w:unhideWhenUsed/>
    <w:rsid w:val="00401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B65"/>
    <w:rPr>
      <w:rFonts w:ascii="Segoe UI" w:hAnsi="Segoe UI" w:cs="Segoe UI"/>
      <w:sz w:val="18"/>
      <w:szCs w:val="18"/>
      <w:lang w:val="de-DE" w:eastAsia="ko-KR"/>
    </w:rPr>
  </w:style>
  <w:style w:type="character" w:styleId="Hyperlink">
    <w:name w:val="Hyperlink"/>
    <w:basedOn w:val="DefaultParagraphFont"/>
    <w:uiPriority w:val="99"/>
    <w:semiHidden/>
    <w:unhideWhenUsed/>
    <w:rsid w:val="00401B65"/>
    <w:rPr>
      <w:color w:val="0000FF"/>
      <w:u w:val="single"/>
    </w:rPr>
  </w:style>
  <w:style w:type="table" w:customStyle="1" w:styleId="TableGrid1">
    <w:name w:val="Table Grid1"/>
    <w:basedOn w:val="TableNormal"/>
    <w:next w:val="TableGrid"/>
    <w:uiPriority w:val="39"/>
    <w:rsid w:val="006D3554"/>
    <w:rPr>
      <w:rFonts w:ascii="Verdana" w:eastAsiaTheme="minorHAnsi" w:hAnsi="Verdana" w:cstheme="minorBidi"/>
      <w:sz w:val="17"/>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6D3554"/>
    <w:pPr>
      <w:spacing w:after="160"/>
      <w:jc w:val="left"/>
    </w:pPr>
    <w:rPr>
      <w:rFonts w:asciiTheme="minorHAnsi" w:eastAsiaTheme="minorHAnsi" w:hAnsiTheme="minorHAnsi" w:cstheme="minorBidi"/>
      <w:szCs w:val="20"/>
      <w:lang w:eastAsia="en-US"/>
    </w:rPr>
  </w:style>
  <w:style w:type="table" w:styleId="TableGrid">
    <w:name w:val="Table Grid"/>
    <w:basedOn w:val="TableNormal"/>
    <w:uiPriority w:val="59"/>
    <w:rsid w:val="006D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21B37"/>
    <w:pPr>
      <w:spacing w:after="200"/>
    </w:pPr>
    <w:rPr>
      <w:i/>
      <w:iCs/>
      <w:color w:val="44546A" w:themeColor="text2"/>
      <w:sz w:val="18"/>
      <w:szCs w:val="18"/>
    </w:rPr>
  </w:style>
  <w:style w:type="paragraph" w:styleId="NoSpacing">
    <w:name w:val="No Spacing"/>
    <w:uiPriority w:val="1"/>
    <w:qFormat/>
    <w:rsid w:val="004F3320"/>
    <w:pPr>
      <w:ind w:left="708"/>
    </w:pPr>
    <w:rPr>
      <w:rFonts w:ascii="Courier New" w:eastAsiaTheme="minorHAnsi" w:hAnsi="Courier New" w:cs="Courier New"/>
      <w:sz w:val="22"/>
      <w:szCs w:val="24"/>
      <w:lang w:val="en-US" w:eastAsia="en-US"/>
    </w:rPr>
  </w:style>
  <w:style w:type="paragraph" w:styleId="FootnoteText">
    <w:name w:val="footnote text"/>
    <w:basedOn w:val="Normal"/>
    <w:link w:val="FootnoteTextChar"/>
    <w:uiPriority w:val="99"/>
    <w:semiHidden/>
    <w:unhideWhenUsed/>
    <w:rsid w:val="00A76CF2"/>
    <w:pPr>
      <w:jc w:val="left"/>
    </w:pPr>
    <w:rPr>
      <w:rFonts w:eastAsiaTheme="minorHAnsi" w:cs="Arial"/>
      <w:szCs w:val="20"/>
      <w:lang w:val="en-US" w:eastAsia="en-US"/>
    </w:rPr>
  </w:style>
  <w:style w:type="character" w:customStyle="1" w:styleId="FootnoteTextChar">
    <w:name w:val="Footnote Text Char"/>
    <w:basedOn w:val="DefaultParagraphFont"/>
    <w:link w:val="FootnoteText"/>
    <w:uiPriority w:val="99"/>
    <w:semiHidden/>
    <w:rsid w:val="00A76CF2"/>
    <w:rPr>
      <w:rFonts w:ascii="Arial" w:eastAsiaTheme="minorHAnsi" w:hAnsi="Arial" w:cs="Arial"/>
      <w:lang w:val="en-US" w:eastAsia="en-US"/>
    </w:rPr>
  </w:style>
  <w:style w:type="character" w:styleId="PlaceholderText">
    <w:name w:val="Placeholder Text"/>
    <w:basedOn w:val="DefaultParagraphFont"/>
    <w:uiPriority w:val="99"/>
    <w:semiHidden/>
    <w:rsid w:val="00E32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8722">
      <w:bodyDiv w:val="1"/>
      <w:marLeft w:val="0"/>
      <w:marRight w:val="0"/>
      <w:marTop w:val="0"/>
      <w:marBottom w:val="0"/>
      <w:divBdr>
        <w:top w:val="none" w:sz="0" w:space="0" w:color="auto"/>
        <w:left w:val="none" w:sz="0" w:space="0" w:color="auto"/>
        <w:bottom w:val="none" w:sz="0" w:space="0" w:color="auto"/>
        <w:right w:val="none" w:sz="0" w:space="0" w:color="auto"/>
      </w:divBdr>
    </w:div>
    <w:div w:id="161356308">
      <w:bodyDiv w:val="1"/>
      <w:marLeft w:val="0"/>
      <w:marRight w:val="0"/>
      <w:marTop w:val="0"/>
      <w:marBottom w:val="0"/>
      <w:divBdr>
        <w:top w:val="none" w:sz="0" w:space="0" w:color="auto"/>
        <w:left w:val="none" w:sz="0" w:space="0" w:color="auto"/>
        <w:bottom w:val="none" w:sz="0" w:space="0" w:color="auto"/>
        <w:right w:val="none" w:sz="0" w:space="0" w:color="auto"/>
      </w:divBdr>
    </w:div>
    <w:div w:id="715004964">
      <w:bodyDiv w:val="1"/>
      <w:marLeft w:val="0"/>
      <w:marRight w:val="0"/>
      <w:marTop w:val="0"/>
      <w:marBottom w:val="0"/>
      <w:divBdr>
        <w:top w:val="none" w:sz="0" w:space="0" w:color="auto"/>
        <w:left w:val="none" w:sz="0" w:space="0" w:color="auto"/>
        <w:bottom w:val="none" w:sz="0" w:space="0" w:color="auto"/>
        <w:right w:val="none" w:sz="0" w:space="0" w:color="auto"/>
      </w:divBdr>
    </w:div>
    <w:div w:id="996962007">
      <w:bodyDiv w:val="1"/>
      <w:marLeft w:val="0"/>
      <w:marRight w:val="0"/>
      <w:marTop w:val="0"/>
      <w:marBottom w:val="0"/>
      <w:divBdr>
        <w:top w:val="none" w:sz="0" w:space="0" w:color="auto"/>
        <w:left w:val="none" w:sz="0" w:space="0" w:color="auto"/>
        <w:bottom w:val="none" w:sz="0" w:space="0" w:color="auto"/>
        <w:right w:val="none" w:sz="0" w:space="0" w:color="auto"/>
      </w:divBdr>
    </w:div>
    <w:div w:id="1112556758">
      <w:bodyDiv w:val="1"/>
      <w:marLeft w:val="0"/>
      <w:marRight w:val="0"/>
      <w:marTop w:val="0"/>
      <w:marBottom w:val="0"/>
      <w:divBdr>
        <w:top w:val="none" w:sz="0" w:space="0" w:color="auto"/>
        <w:left w:val="none" w:sz="0" w:space="0" w:color="auto"/>
        <w:bottom w:val="none" w:sz="0" w:space="0" w:color="auto"/>
        <w:right w:val="none" w:sz="0" w:space="0" w:color="auto"/>
      </w:divBdr>
    </w:div>
    <w:div w:id="1435634922">
      <w:bodyDiv w:val="1"/>
      <w:marLeft w:val="0"/>
      <w:marRight w:val="0"/>
      <w:marTop w:val="0"/>
      <w:marBottom w:val="0"/>
      <w:divBdr>
        <w:top w:val="none" w:sz="0" w:space="0" w:color="auto"/>
        <w:left w:val="none" w:sz="0" w:space="0" w:color="auto"/>
        <w:bottom w:val="none" w:sz="0" w:space="0" w:color="auto"/>
        <w:right w:val="none" w:sz="0" w:space="0" w:color="auto"/>
      </w:divBdr>
    </w:div>
    <w:div w:id="1859540690">
      <w:bodyDiv w:val="1"/>
      <w:marLeft w:val="0"/>
      <w:marRight w:val="0"/>
      <w:marTop w:val="0"/>
      <w:marBottom w:val="0"/>
      <w:divBdr>
        <w:top w:val="none" w:sz="0" w:space="0" w:color="auto"/>
        <w:left w:val="none" w:sz="0" w:space="0" w:color="auto"/>
        <w:bottom w:val="none" w:sz="0" w:space="0" w:color="auto"/>
        <w:right w:val="none" w:sz="0" w:space="0" w:color="auto"/>
      </w:divBdr>
    </w:div>
    <w:div w:id="19890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khatova@eeg.tuwien.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92C20BD-8A53-47F1-A8DE-6C2EBED3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2554</Words>
  <Characters>14564</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Akhatova, Ardak</cp:lastModifiedBy>
  <cp:revision>43</cp:revision>
  <dcterms:created xsi:type="dcterms:W3CDTF">2022-11-14T10:24:00Z</dcterms:created>
  <dcterms:modified xsi:type="dcterms:W3CDTF">2022-11-21T19:43:00Z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http://www.zotero.org/styles/energies</vt:lpwstr>
  </property>
  <property fmtid="{D5CDD505-2E9C-101B-9397-08002B2CF9AE}" pid="11" name="Mendeley Recent Style Name 4_1">
    <vt:lpwstr>Energies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http://www.zotero.org/styles/renewable-and-sustainable-energy-reviews</vt:lpwstr>
  </property>
  <property fmtid="{D5CDD505-2E9C-101B-9397-08002B2CF9AE}" pid="21" name="Mendeley Recent Style Name 9_1">
    <vt:lpwstr>Renewable and Sustainable Energy Reviews</vt:lpwstr>
  </property>
  <property fmtid="{D5CDD505-2E9C-101B-9397-08002B2CF9AE}" pid="22" name="Mendeley Document_1">
    <vt:lpwstr>True</vt:lpwstr>
  </property>
  <property fmtid="{D5CDD505-2E9C-101B-9397-08002B2CF9AE}" pid="23" name="Mendeley Unique User Id_1">
    <vt:lpwstr>237fe83d-12e6-3689-b48f-8077a718e52a</vt:lpwstr>
  </property>
  <property fmtid="{D5CDD505-2E9C-101B-9397-08002B2CF9AE}" pid="24" name="Mendeley Citation Style_1">
    <vt:lpwstr>http://www.zotero.org/styles/ieee</vt:lpwstr>
  </property>
</Properties>
</file>