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BD9952" w14:textId="06347BD0" w:rsidR="00762CDC" w:rsidRPr="005E4D4F" w:rsidRDefault="00386207" w:rsidP="00762CDC">
      <w:pPr>
        <w:pStyle w:val="Abstract-Titel"/>
      </w:pPr>
      <w:proofErr w:type="spellStart"/>
      <w:r>
        <w:t>Local</w:t>
      </w:r>
      <w:proofErr w:type="spellEnd"/>
      <w:r>
        <w:t xml:space="preserve"> </w:t>
      </w:r>
      <w:proofErr w:type="spellStart"/>
      <w:r>
        <w:t>Sustainable</w:t>
      </w:r>
      <w:proofErr w:type="spellEnd"/>
      <w:r>
        <w:t xml:space="preserve"> Communities: Ressourcennutzung in Energiegemeinschaften jenseits der Community Grenzen</w:t>
      </w:r>
    </w:p>
    <w:p w14:paraId="50AFB794" w14:textId="694F0E4F" w:rsidR="00762CDC" w:rsidRDefault="005069C6" w:rsidP="00762CDC">
      <w:pPr>
        <w:pStyle w:val="AutorenOrganisation"/>
      </w:pPr>
      <w:r>
        <w:t xml:space="preserve">8 </w:t>
      </w:r>
      <w:r w:rsidR="009328E7">
        <w:t xml:space="preserve">Kritische Rohstoffe und </w:t>
      </w:r>
      <w:r>
        <w:t>Kreislaufwirtschaft</w:t>
      </w:r>
    </w:p>
    <w:p w14:paraId="00228BFA" w14:textId="1E02503F" w:rsidR="00762CDC" w:rsidRPr="005E4D4F" w:rsidRDefault="005069C6" w:rsidP="00762CDC">
      <w:pPr>
        <w:pStyle w:val="AutorenOrganisation"/>
      </w:pPr>
      <w:r>
        <w:t>Matthias Maldet</w:t>
      </w:r>
      <w:r w:rsidR="00762CDC" w:rsidRPr="00010E92">
        <w:rPr>
          <w:vertAlign w:val="superscript"/>
        </w:rPr>
        <w:footnoteReference w:id="1"/>
      </w:r>
      <w:r w:rsidR="00762CDC" w:rsidRPr="00A156E4">
        <w:rPr>
          <w:vertAlign w:val="superscript"/>
        </w:rPr>
        <w:t>(1</w:t>
      </w:r>
      <w:r w:rsidR="00762CDC">
        <w:rPr>
          <w:vertAlign w:val="superscript"/>
        </w:rPr>
        <w:t>)</w:t>
      </w:r>
      <w:r w:rsidR="00762CDC" w:rsidRPr="005E4D4F">
        <w:t xml:space="preserve">, </w:t>
      </w:r>
      <w:r>
        <w:t>Georg Lettner</w:t>
      </w:r>
      <w:r w:rsidR="009328E7" w:rsidRPr="00A156E4">
        <w:rPr>
          <w:vertAlign w:val="superscript"/>
        </w:rPr>
        <w:t xml:space="preserve"> </w:t>
      </w:r>
      <w:r w:rsidRPr="00A156E4">
        <w:rPr>
          <w:vertAlign w:val="superscript"/>
        </w:rPr>
        <w:t>(1</w:t>
      </w:r>
      <w:r>
        <w:rPr>
          <w:vertAlign w:val="superscript"/>
        </w:rPr>
        <w:t>)</w:t>
      </w:r>
      <w:r w:rsidRPr="005E4D4F">
        <w:t>,</w:t>
      </w:r>
      <w:r>
        <w:t xml:space="preserve"> Daniel Schwabeneder</w:t>
      </w:r>
      <w:r w:rsidR="009328E7" w:rsidRPr="00A156E4">
        <w:rPr>
          <w:vertAlign w:val="superscript"/>
        </w:rPr>
        <w:t xml:space="preserve"> </w:t>
      </w:r>
      <w:r w:rsidRPr="00A156E4">
        <w:rPr>
          <w:vertAlign w:val="superscript"/>
        </w:rPr>
        <w:t>(1</w:t>
      </w:r>
      <w:r>
        <w:rPr>
          <w:vertAlign w:val="superscript"/>
        </w:rPr>
        <w:t>)</w:t>
      </w:r>
      <w:r w:rsidRPr="005E4D4F">
        <w:t>,</w:t>
      </w:r>
    </w:p>
    <w:p w14:paraId="486095D1" w14:textId="36A0699D" w:rsidR="00762CDC" w:rsidRPr="00B2373F" w:rsidRDefault="00762CDC" w:rsidP="00762CDC">
      <w:pPr>
        <w:pStyle w:val="AutorenOrganisation"/>
      </w:pPr>
      <w:r w:rsidRPr="00B2373F">
        <w:rPr>
          <w:vertAlign w:val="superscript"/>
        </w:rPr>
        <w:t>(1)</w:t>
      </w:r>
      <w:r w:rsidR="005069C6" w:rsidRPr="00B2373F">
        <w:t>TU Wien Energy Economics Group</w:t>
      </w:r>
    </w:p>
    <w:p w14:paraId="3C603BE8" w14:textId="77777777" w:rsidR="00762CDC" w:rsidRPr="00B2373F" w:rsidRDefault="00762CDC" w:rsidP="00762CDC">
      <w:pPr>
        <w:rPr>
          <w:lang w:val="de-AT"/>
        </w:rPr>
      </w:pPr>
    </w:p>
    <w:p w14:paraId="52E7185C" w14:textId="77777777" w:rsidR="00762CDC" w:rsidRPr="005E4D4F" w:rsidRDefault="00762CDC" w:rsidP="00762CDC">
      <w:pPr>
        <w:pStyle w:val="Ueberschrift"/>
      </w:pPr>
      <w:r w:rsidRPr="005E4D4F">
        <w:t>Motivation und zentrale Fragestellung</w:t>
      </w:r>
    </w:p>
    <w:p w14:paraId="0450C8D1" w14:textId="34A5079D" w:rsidR="00762CDC" w:rsidRPr="00545B1F" w:rsidRDefault="00762CDC" w:rsidP="00762CDC">
      <w:pPr>
        <w:rPr>
          <w:lang w:val="de-AT"/>
        </w:rPr>
      </w:pPr>
      <w:r w:rsidRPr="00545B1F">
        <w:rPr>
          <w:lang w:val="de-AT"/>
        </w:rPr>
        <w:t>Um die Treibhausgasemissionen</w:t>
      </w:r>
      <w:r>
        <w:rPr>
          <w:lang w:val="de-AT"/>
        </w:rPr>
        <w:t xml:space="preserve"> zu reduzieren</w:t>
      </w:r>
      <w:r w:rsidRPr="00545B1F">
        <w:rPr>
          <w:lang w:val="de-AT"/>
        </w:rPr>
        <w:t xml:space="preserve"> und d</w:t>
      </w:r>
      <w:r>
        <w:rPr>
          <w:lang w:val="de-AT"/>
        </w:rPr>
        <w:t>amit die Auswirkungen des Klimawandel</w:t>
      </w:r>
      <w:r w:rsidR="002D1A16">
        <w:rPr>
          <w:lang w:val="de-AT"/>
        </w:rPr>
        <w:t>s</w:t>
      </w:r>
      <w:r>
        <w:rPr>
          <w:lang w:val="de-AT"/>
        </w:rPr>
        <w:t xml:space="preserve"> zu vermindern wird die Dezentralisierung des Energiesystems als essenzieller Prozess angesehen </w:t>
      </w:r>
      <w:sdt>
        <w:sdtPr>
          <w:rPr>
            <w:lang w:val="de-AT"/>
          </w:rPr>
          <w:id w:val="608697372"/>
          <w:citation/>
        </w:sdtPr>
        <w:sdtEndPr/>
        <w:sdtContent>
          <w:r w:rsidR="005069C6">
            <w:rPr>
              <w:lang w:val="de-AT"/>
            </w:rPr>
            <w:fldChar w:fldCharType="begin"/>
          </w:r>
          <w:r w:rsidR="005069C6">
            <w:rPr>
              <w:noProof/>
              <w:lang w:val="de-AT"/>
            </w:rPr>
            <w:instrText xml:space="preserve"> CITATION Uni22 \l 3079 </w:instrText>
          </w:r>
          <w:r w:rsidR="005069C6">
            <w:rPr>
              <w:lang w:val="de-AT"/>
            </w:rPr>
            <w:fldChar w:fldCharType="separate"/>
          </w:r>
          <w:r w:rsidR="005069C6" w:rsidRPr="005069C6">
            <w:rPr>
              <w:noProof/>
              <w:lang w:val="de-AT"/>
            </w:rPr>
            <w:t>[1]</w:t>
          </w:r>
          <w:r w:rsidR="005069C6">
            <w:rPr>
              <w:lang w:val="de-AT"/>
            </w:rPr>
            <w:fldChar w:fldCharType="end"/>
          </w:r>
        </w:sdtContent>
      </w:sdt>
      <w:r w:rsidR="005069C6">
        <w:rPr>
          <w:lang w:val="de-AT"/>
        </w:rPr>
        <w:t xml:space="preserve">, </w:t>
      </w:r>
      <w:sdt>
        <w:sdtPr>
          <w:rPr>
            <w:lang w:val="de-AT"/>
          </w:rPr>
          <w:id w:val="-1734993598"/>
          <w:citation/>
        </w:sdtPr>
        <w:sdtEndPr/>
        <w:sdtContent>
          <w:r w:rsidR="005069C6">
            <w:rPr>
              <w:lang w:val="de-AT"/>
            </w:rPr>
            <w:fldChar w:fldCharType="begin"/>
          </w:r>
          <w:r w:rsidR="005069C6">
            <w:rPr>
              <w:lang w:val="de-AT"/>
            </w:rPr>
            <w:instrText xml:space="preserve"> CITATION Eur20 \l 3079 </w:instrText>
          </w:r>
          <w:r w:rsidR="005069C6">
            <w:rPr>
              <w:lang w:val="de-AT"/>
            </w:rPr>
            <w:fldChar w:fldCharType="separate"/>
          </w:r>
          <w:r w:rsidR="005069C6" w:rsidRPr="005069C6">
            <w:rPr>
              <w:noProof/>
              <w:lang w:val="de-AT"/>
            </w:rPr>
            <w:t>[2]</w:t>
          </w:r>
          <w:r w:rsidR="005069C6">
            <w:rPr>
              <w:lang w:val="de-AT"/>
            </w:rPr>
            <w:fldChar w:fldCharType="end"/>
          </w:r>
        </w:sdtContent>
      </w:sdt>
      <w:r>
        <w:rPr>
          <w:noProof/>
          <w:lang w:val="de-AT"/>
        </w:rPr>
        <w:t xml:space="preserve">. Local Sustainable Communities (LSC) werden als Kombination aus nachhaltigen Gemeinschaften und Energiegemeinschaften eingeführt, um Anreize für den Ausbau dezentraler Erzeugungstechnologien zu liefern. Dabei werden Geschäftsmodelle, welche Anreize zur nachhaltigen Resourcennutzung im Energiesystem setzen, eingeführt. Das volle Potenzial von LSCs kann jedoch nur dann ausgeschöpft werden, wenn diese auch über deren Grenzen hinaus operieren können. Um das gewährleisten zu können werden Local Sustainable Municipalities (LSM) als Verbund mehrerer miteinander operierender LSCs auf </w:t>
      </w:r>
      <w:r w:rsidR="00046101">
        <w:rPr>
          <w:noProof/>
          <w:lang w:val="de-AT"/>
        </w:rPr>
        <w:t>kommunaler</w:t>
      </w:r>
      <w:r>
        <w:rPr>
          <w:noProof/>
          <w:lang w:val="de-AT"/>
        </w:rPr>
        <w:t xml:space="preserve"> Ebene eingeführt.</w:t>
      </w:r>
    </w:p>
    <w:p w14:paraId="2A34B39F" w14:textId="77777777" w:rsidR="00762CDC" w:rsidRPr="00762CDC" w:rsidRDefault="00762CDC" w:rsidP="00762CDC">
      <w:pPr>
        <w:pStyle w:val="Ueberschrift"/>
        <w:rPr>
          <w:lang w:val="de-AT"/>
        </w:rPr>
      </w:pPr>
      <w:r w:rsidRPr="00762CDC">
        <w:rPr>
          <w:lang w:val="de-AT"/>
        </w:rPr>
        <w:t>Methodische Vorgangsweise</w:t>
      </w:r>
    </w:p>
    <w:p w14:paraId="5362D5B3" w14:textId="3D14A850" w:rsidR="00E900B2" w:rsidRDefault="00762CDC" w:rsidP="00762CDC">
      <w:r>
        <w:t xml:space="preserve">Für die Analyse der LSM wird ein </w:t>
      </w:r>
      <w:proofErr w:type="spellStart"/>
      <w:r>
        <w:t>Sektorkopplungs</w:t>
      </w:r>
      <w:proofErr w:type="spellEnd"/>
      <w:r>
        <w:t xml:space="preserve">-Optimierungsmodell entwickelt, das die Sektoren Strom, Wärme, Wasser, Abwasser und Abfall berücksichtigt. Die LSM ist dabei aus verschiedenen Knoten aufgebaut, wobei jeder Knoten einer LSC entspricht. LSCs werden durch einen LSC Operator in der LSM repräsentiert. LSCs können in ihren Knoten in Technologien investieren und die dabei erzeugte Energie an die LSM verkaufen. Gleichzeitig kann die LSM in allen Knoten in Technologien investieren und die Energie an die LSCs verkaufen. </w:t>
      </w:r>
    </w:p>
    <w:p w14:paraId="5C89CC51" w14:textId="2D7035AA" w:rsidR="00BC6A49" w:rsidRDefault="00BC6A49" w:rsidP="00762CDC"/>
    <w:p w14:paraId="41844A62" w14:textId="2EB30299" w:rsidR="004B68C9" w:rsidRDefault="00E53D28" w:rsidP="004B68C9">
      <w:pPr>
        <w:keepNext/>
        <w:jc w:val="center"/>
      </w:pPr>
      <w:r>
        <w:rPr>
          <w:noProof/>
        </w:rPr>
        <w:drawing>
          <wp:inline distT="0" distB="0" distL="0" distR="0" wp14:anchorId="0DFC807A" wp14:editId="2E1BE729">
            <wp:extent cx="4409760" cy="306895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12753" cy="3071038"/>
                    </a:xfrm>
                    <a:prstGeom prst="rect">
                      <a:avLst/>
                    </a:prstGeom>
                    <a:noFill/>
                    <a:ln>
                      <a:noFill/>
                    </a:ln>
                  </pic:spPr>
                </pic:pic>
              </a:graphicData>
            </a:graphic>
          </wp:inline>
        </w:drawing>
      </w:r>
    </w:p>
    <w:p w14:paraId="37F941D7" w14:textId="29B2242E" w:rsidR="00B2373F" w:rsidRDefault="004B68C9" w:rsidP="004B68C9">
      <w:pPr>
        <w:pStyle w:val="Beschriftung"/>
        <w:jc w:val="center"/>
      </w:pPr>
      <w:r>
        <w:t xml:space="preserve">Abbildung </w:t>
      </w:r>
      <w:r>
        <w:fldChar w:fldCharType="begin"/>
      </w:r>
      <w:r>
        <w:instrText xml:space="preserve"> SEQ Abbildung \* ARABIC </w:instrText>
      </w:r>
      <w:r>
        <w:fldChar w:fldCharType="separate"/>
      </w:r>
      <w:r>
        <w:rPr>
          <w:noProof/>
        </w:rPr>
        <w:t>1</w:t>
      </w:r>
      <w:r>
        <w:fldChar w:fldCharType="end"/>
      </w:r>
      <w:r>
        <w:t xml:space="preserve"> LSM-LSC Modell</w:t>
      </w:r>
    </w:p>
    <w:p w14:paraId="7D4715BB" w14:textId="77777777" w:rsidR="004B68C9" w:rsidRDefault="004B68C9" w:rsidP="00762CDC"/>
    <w:p w14:paraId="75A0246A" w14:textId="33D5896D" w:rsidR="00762CDC" w:rsidRDefault="00762CDC" w:rsidP="00762CDC">
      <w:r>
        <w:t xml:space="preserve">Die Ressourcenverarbeitung von Abfall und Abwasser erfolgt gemeinsam über die LSM. Über das Optimierungsmodell erfolgt eine Investitionsentscheidung, in welchem Knoten eine Ressourcenbehandlungsanlage installiert wird. </w:t>
      </w:r>
      <w:r w:rsidR="00E900B2">
        <w:t>Die in</w:t>
      </w:r>
      <w:r>
        <w:t xml:space="preserve"> Prozesse</w:t>
      </w:r>
      <w:r w:rsidR="00E900B2">
        <w:t>n</w:t>
      </w:r>
      <w:r>
        <w:t xml:space="preserve"> rückgewonnene Energie in Form von Strom und Wärme wird der LSM zugordnet. Diese kann wiederum die Energie an die LSCs verkaufen. Transporteffizienzen und Preis sind dabei abhängig von der Entfernung zwischen gewähltem Knoten und LSC Knoten.</w:t>
      </w:r>
      <w:r w:rsidR="004B68C9">
        <w:t xml:space="preserve"> </w:t>
      </w:r>
      <w:r>
        <w:t xml:space="preserve">Ziel der Preissetzung ist, dass Investitionen im am besten geeigneten Knoten zur </w:t>
      </w:r>
      <w:r>
        <w:lastRenderedPageBreak/>
        <w:t xml:space="preserve">maximalen Effizienz führen. Gleichzeitig </w:t>
      </w:r>
      <w:r w:rsidR="00B766D6">
        <w:t>sollen</w:t>
      </w:r>
      <w:r>
        <w:t xml:space="preserve"> Anreize für nachhaltige Ressourcennutzung </w:t>
      </w:r>
      <w:r w:rsidR="00B2373F">
        <w:t>in</w:t>
      </w:r>
      <w:r>
        <w:t xml:space="preserve"> LSCs </w:t>
      </w:r>
      <w:r w:rsidR="00B766D6">
        <w:t>gesetzt werden</w:t>
      </w:r>
      <w:r>
        <w:t xml:space="preserve">, indem </w:t>
      </w:r>
      <w:r w:rsidR="00B766D6">
        <w:t>LSCs</w:t>
      </w:r>
      <w:r>
        <w:t xml:space="preserve"> </w:t>
      </w:r>
      <w:r w:rsidR="00B2373F">
        <w:t xml:space="preserve">sich </w:t>
      </w:r>
      <w:r>
        <w:t>an der LSM beteiligen.</w:t>
      </w:r>
    </w:p>
    <w:p w14:paraId="6D8D4E85" w14:textId="77777777" w:rsidR="00762CDC" w:rsidRPr="005E4D4F" w:rsidRDefault="00762CDC" w:rsidP="00762CDC">
      <w:pPr>
        <w:pStyle w:val="Ueberschrift"/>
      </w:pPr>
      <w:r w:rsidRPr="005E4D4F">
        <w:t>Ergebnisse und Schlussfolgerungen</w:t>
      </w:r>
    </w:p>
    <w:p w14:paraId="610A3C20" w14:textId="47A7B64D" w:rsidR="00762CDC" w:rsidRDefault="00C14DD1" w:rsidP="00762CDC">
      <w:r>
        <w:t xml:space="preserve">LSC Geschäftsmodelle können Anreize für nachhaltigere Ressourcennutzung in Gemeinschaften liefern. </w:t>
      </w:r>
      <w:r w:rsidR="00EF36FF">
        <w:t>Nichtberücksichtigung von Energierückgewinnung (</w:t>
      </w:r>
      <w:proofErr w:type="spellStart"/>
      <w:r w:rsidR="00EF36FF">
        <w:t>No</w:t>
      </w:r>
      <w:proofErr w:type="spellEnd"/>
      <w:r w:rsidR="00EF36FF">
        <w:t xml:space="preserve"> </w:t>
      </w:r>
      <w:proofErr w:type="spellStart"/>
      <w:r w:rsidR="00EF36FF">
        <w:t>energy</w:t>
      </w:r>
      <w:proofErr w:type="spellEnd"/>
      <w:r w:rsidR="00EF36FF">
        <w:t xml:space="preserve"> </w:t>
      </w:r>
      <w:proofErr w:type="spellStart"/>
      <w:r w:rsidR="00EF36FF">
        <w:t>recovery</w:t>
      </w:r>
      <w:proofErr w:type="spellEnd"/>
      <w:r w:rsidR="00EF36FF">
        <w:t>) führt zu den höchsten Kosten</w:t>
      </w:r>
      <w:r w:rsidR="008C15F2">
        <w:t xml:space="preserve"> und Stromnetzbezug.</w:t>
      </w:r>
      <w:r w:rsidR="007C0E82">
        <w:t xml:space="preserve"> Die CO</w:t>
      </w:r>
      <w:r w:rsidR="007C0E82">
        <w:rPr>
          <w:vertAlign w:val="subscript"/>
        </w:rPr>
        <w:t>2</w:t>
      </w:r>
      <w:r w:rsidR="007C0E82">
        <w:t xml:space="preserve"> Emissionen </w:t>
      </w:r>
      <w:r w:rsidR="008C15F2">
        <w:t>steigen ohne</w:t>
      </w:r>
      <w:r w:rsidR="007C0E82">
        <w:t xml:space="preserve"> nachhaltige Technologien wie PV Anlagen und Wärmepumpen</w:t>
      </w:r>
      <w:r w:rsidR="008C15F2">
        <w:t xml:space="preserve"> (</w:t>
      </w:r>
      <w:proofErr w:type="spellStart"/>
      <w:r w:rsidR="008C15F2">
        <w:t>No</w:t>
      </w:r>
      <w:proofErr w:type="spellEnd"/>
      <w:r w:rsidR="008C15F2">
        <w:t xml:space="preserve"> </w:t>
      </w:r>
      <w:proofErr w:type="spellStart"/>
      <w:r w:rsidR="008C15F2">
        <w:t>tech</w:t>
      </w:r>
      <w:proofErr w:type="spellEnd"/>
      <w:r w:rsidR="008C15F2">
        <w:t>)</w:t>
      </w:r>
      <w:r w:rsidR="007C0E82">
        <w:t xml:space="preserve"> am stärksten Beeinflusst. </w:t>
      </w:r>
      <w:r w:rsidR="008C15F2">
        <w:t>Keine Wasserrückgewinnung (</w:t>
      </w:r>
      <w:proofErr w:type="spellStart"/>
      <w:r w:rsidR="008C15F2">
        <w:t>No</w:t>
      </w:r>
      <w:proofErr w:type="spellEnd"/>
      <w:r w:rsidR="008C15F2">
        <w:t xml:space="preserve"> </w:t>
      </w:r>
      <w:proofErr w:type="spellStart"/>
      <w:r w:rsidR="008C15F2">
        <w:t>water</w:t>
      </w:r>
      <w:proofErr w:type="spellEnd"/>
      <w:r w:rsidR="008C15F2">
        <w:t xml:space="preserve"> </w:t>
      </w:r>
      <w:proofErr w:type="spellStart"/>
      <w:r w:rsidR="008C15F2">
        <w:t>recovery</w:t>
      </w:r>
      <w:proofErr w:type="spellEnd"/>
      <w:r w:rsidR="008C15F2">
        <w:t>) und Wasserverbrauchsreduktion (</w:t>
      </w:r>
      <w:proofErr w:type="spellStart"/>
      <w:r w:rsidR="008C15F2">
        <w:t>No</w:t>
      </w:r>
      <w:proofErr w:type="spellEnd"/>
      <w:r w:rsidR="008C15F2">
        <w:t xml:space="preserve"> </w:t>
      </w:r>
      <w:proofErr w:type="spellStart"/>
      <w:r w:rsidR="008C15F2">
        <w:t>reduction</w:t>
      </w:r>
      <w:proofErr w:type="spellEnd"/>
      <w:r w:rsidR="008C15F2">
        <w:t>) führen ebenfalls zu nicht vernachlässigbaren Kosten- und Emissionssteigerungen.</w:t>
      </w:r>
    </w:p>
    <w:p w14:paraId="28298EC8" w14:textId="4BB0D142" w:rsidR="005069C6" w:rsidRDefault="005069C6" w:rsidP="00762CDC"/>
    <w:p w14:paraId="38BAF00B" w14:textId="0061231F" w:rsidR="005069C6" w:rsidRDefault="007F6F2B" w:rsidP="00762CDC">
      <w:r>
        <w:rPr>
          <w:noProof/>
        </w:rPr>
        <w:drawing>
          <wp:anchor distT="0" distB="0" distL="114300" distR="114300" simplePos="0" relativeHeight="251665408" behindDoc="0" locked="0" layoutInCell="1" allowOverlap="1" wp14:anchorId="4B6798D1" wp14:editId="49455D3F">
            <wp:simplePos x="0" y="0"/>
            <wp:positionH relativeFrom="margin">
              <wp:posOffset>-635</wp:posOffset>
            </wp:positionH>
            <wp:positionV relativeFrom="paragraph">
              <wp:posOffset>25400</wp:posOffset>
            </wp:positionV>
            <wp:extent cx="2560955" cy="2343150"/>
            <wp:effectExtent l="0" t="0" r="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560955" cy="23431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0" locked="0" layoutInCell="1" allowOverlap="1" wp14:anchorId="0EE6D65D" wp14:editId="248A6CDC">
            <wp:simplePos x="0" y="0"/>
            <wp:positionH relativeFrom="margin">
              <wp:align>right</wp:align>
            </wp:positionH>
            <wp:positionV relativeFrom="paragraph">
              <wp:posOffset>6350</wp:posOffset>
            </wp:positionV>
            <wp:extent cx="2865049" cy="2435860"/>
            <wp:effectExtent l="0" t="0" r="0" b="254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865049" cy="2435860"/>
                    </a:xfrm>
                    <a:prstGeom prst="rect">
                      <a:avLst/>
                    </a:prstGeom>
                  </pic:spPr>
                </pic:pic>
              </a:graphicData>
            </a:graphic>
            <wp14:sizeRelH relativeFrom="margin">
              <wp14:pctWidth>0</wp14:pctWidth>
            </wp14:sizeRelH>
            <wp14:sizeRelV relativeFrom="margin">
              <wp14:pctHeight>0</wp14:pctHeight>
            </wp14:sizeRelV>
          </wp:anchor>
        </w:drawing>
      </w:r>
    </w:p>
    <w:p w14:paraId="35470AA5" w14:textId="5824C1E6" w:rsidR="005069C6" w:rsidRDefault="005069C6" w:rsidP="00762CDC"/>
    <w:p w14:paraId="73E41A0B" w14:textId="42743D51" w:rsidR="005069C6" w:rsidRDefault="005069C6" w:rsidP="00762CDC"/>
    <w:p w14:paraId="657AE3B0" w14:textId="10ECBEB4" w:rsidR="005069C6" w:rsidRDefault="005069C6" w:rsidP="00762CDC"/>
    <w:p w14:paraId="0F63AEED" w14:textId="471BA977" w:rsidR="005069C6" w:rsidRDefault="005069C6" w:rsidP="00762CDC"/>
    <w:p w14:paraId="21625F66" w14:textId="353B132F" w:rsidR="005069C6" w:rsidRDefault="005069C6" w:rsidP="00762CDC"/>
    <w:p w14:paraId="5363D275" w14:textId="163B18B3" w:rsidR="005069C6" w:rsidRDefault="005069C6" w:rsidP="00762CDC"/>
    <w:p w14:paraId="50FCBEEF" w14:textId="7B85B93D" w:rsidR="005069C6" w:rsidRDefault="005069C6" w:rsidP="00762CDC"/>
    <w:p w14:paraId="2623374B" w14:textId="3AB74CE2" w:rsidR="005069C6" w:rsidRDefault="005069C6" w:rsidP="00762CDC"/>
    <w:p w14:paraId="7DE68568" w14:textId="466243ED" w:rsidR="005069C6" w:rsidRDefault="005069C6" w:rsidP="00762CDC"/>
    <w:p w14:paraId="7621B777" w14:textId="49293875" w:rsidR="005069C6" w:rsidRDefault="005069C6" w:rsidP="00762CDC"/>
    <w:p w14:paraId="361828EF" w14:textId="6630535B" w:rsidR="005069C6" w:rsidRDefault="005069C6" w:rsidP="00762CDC"/>
    <w:p w14:paraId="57AFC20C" w14:textId="6BF129AC" w:rsidR="005069C6" w:rsidRDefault="005069C6" w:rsidP="00762CDC"/>
    <w:p w14:paraId="758BF2F7" w14:textId="6A4325C9" w:rsidR="005069C6" w:rsidRDefault="005069C6" w:rsidP="00762CDC"/>
    <w:p w14:paraId="0F5689D2" w14:textId="6D239790" w:rsidR="005069C6" w:rsidRDefault="005069C6" w:rsidP="00762CDC"/>
    <w:p w14:paraId="2BF694AA" w14:textId="11906CFB" w:rsidR="005069C6" w:rsidRDefault="005069C6" w:rsidP="00762CDC"/>
    <w:p w14:paraId="20F02068" w14:textId="7182F746" w:rsidR="005069C6" w:rsidRDefault="005069C6" w:rsidP="00762CDC"/>
    <w:p w14:paraId="63BEF424" w14:textId="2B6B29D5" w:rsidR="005069C6" w:rsidRDefault="005069C6" w:rsidP="00762CDC">
      <w:r>
        <w:rPr>
          <w:noProof/>
        </w:rPr>
        <mc:AlternateContent>
          <mc:Choice Requires="wps">
            <w:drawing>
              <wp:anchor distT="0" distB="0" distL="114300" distR="114300" simplePos="0" relativeHeight="251663360" behindDoc="0" locked="0" layoutInCell="1" allowOverlap="1" wp14:anchorId="05F5C6D8" wp14:editId="43579357">
                <wp:simplePos x="0" y="0"/>
                <wp:positionH relativeFrom="margin">
                  <wp:align>left</wp:align>
                </wp:positionH>
                <wp:positionV relativeFrom="paragraph">
                  <wp:posOffset>4445</wp:posOffset>
                </wp:positionV>
                <wp:extent cx="2964180" cy="635"/>
                <wp:effectExtent l="0" t="0" r="7620" b="8255"/>
                <wp:wrapNone/>
                <wp:docPr id="4" name="Textfeld 4"/>
                <wp:cNvGraphicFramePr/>
                <a:graphic xmlns:a="http://schemas.openxmlformats.org/drawingml/2006/main">
                  <a:graphicData uri="http://schemas.microsoft.com/office/word/2010/wordprocessingShape">
                    <wps:wsp>
                      <wps:cNvSpPr txBox="1"/>
                      <wps:spPr>
                        <a:xfrm>
                          <a:off x="0" y="0"/>
                          <a:ext cx="2964180" cy="635"/>
                        </a:xfrm>
                        <a:prstGeom prst="rect">
                          <a:avLst/>
                        </a:prstGeom>
                        <a:solidFill>
                          <a:prstClr val="white"/>
                        </a:solidFill>
                        <a:ln>
                          <a:noFill/>
                        </a:ln>
                      </wps:spPr>
                      <wps:txbx>
                        <w:txbxContent>
                          <w:p w14:paraId="16C112F7" w14:textId="07E9461C" w:rsidR="005069C6" w:rsidRPr="008C72F3" w:rsidRDefault="005069C6" w:rsidP="005069C6">
                            <w:pPr>
                              <w:pStyle w:val="Beschriftung"/>
                              <w:rPr>
                                <w:noProof/>
                                <w:sz w:val="20"/>
                                <w:szCs w:val="24"/>
                              </w:rPr>
                            </w:pPr>
                            <w:r>
                              <w:t xml:space="preserve">Abbildung </w:t>
                            </w:r>
                            <w:r>
                              <w:fldChar w:fldCharType="begin"/>
                            </w:r>
                            <w:r>
                              <w:instrText xml:space="preserve"> SEQ Abbildung \* ARABIC </w:instrText>
                            </w:r>
                            <w:r>
                              <w:fldChar w:fldCharType="separate"/>
                            </w:r>
                            <w:r w:rsidR="004B68C9">
                              <w:rPr>
                                <w:noProof/>
                              </w:rPr>
                              <w:t>2</w:t>
                            </w:r>
                            <w:r>
                              <w:fldChar w:fldCharType="end"/>
                            </w:r>
                            <w:r>
                              <w:t xml:space="preserve"> LSC Modell Kosten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05F5C6D8" id="_x0000_t202" coordsize="21600,21600" o:spt="202" path="m,l,21600r21600,l21600,xe">
                <v:stroke joinstyle="miter"/>
                <v:path gradientshapeok="t" o:connecttype="rect"/>
              </v:shapetype>
              <v:shape id="Textfeld 4" o:spid="_x0000_s1026" type="#_x0000_t202" style="position:absolute;left:0;text-align:left;margin-left:0;margin-top:.35pt;width:233.4pt;height:.05pt;z-index:251663360;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5zNLAIAAF0EAAAOAAAAZHJzL2Uyb0RvYy54bWysVMFuGjEQvVfqP1i+lwVKUYJYIkpEVSlK&#10;IkGVs/HarCXb49qGXfr1HXt3SZv2VPVixjPj533vjVnetUaTs/BBgS3pZDSmRFgOlbLHkn7bbz/c&#10;UBIisxXTYEVJLyLQu9X7d8vGLcQUatCV8ARBbFg0rqR1jG5RFIHXwrAwAicsFiV4wyJu/bGoPGsQ&#10;3ehiOh7PiwZ85TxwEQJm77siXWV8KQWPT1IGEYkuKX5bzKvP6yGtxWrJFkfPXK14/xnsH77CMGXx&#10;0ivUPYuMnLz6A8oo7iGAjCMOpgApFReZA7KZjN+w2dXMicwFxQnuKlP4f7D88fzsiapKOqPEMoMW&#10;7UUbpdAVmSV1GhcW2LRz2Bbbz9Ciy0M+YDKRbqU36RfpEKyjzpertghGOCant/PZ5AZLHGvzj58S&#10;RvF61PkQvwgwJAUl9Whc1pOdH0LsWoeWdFMAraqt0jptUmGjPTkzNLmpVRQ9+G9d2qZeC+lUB5gy&#10;ReLX8UhRbA9tT/oA1QU5e+hmJji+VXjRAwvxmXkcEuSCgx+fcJEampJCH1FSg//xt3zqR++wSkmD&#10;Q1fS8P3EvKBEf7XoaprQIfBDcBgCezIbQIoTfFKO5xAP+KiHUHowL/ge1ukWLDHL8a6SxiHcxG70&#10;8T1xsV7nJpxDx+KD3TmeoAdB9+0L8663I6KLjzCMI1u8caXrzb649SmixNmyJGinYq8zznA2vX9v&#10;6ZH8us9dr/8Kq58AAAD//wMAUEsDBBQABgAIAAAAIQDE/9yh2gAAAAIBAAAPAAAAZHJzL2Rvd25y&#10;ZXYueG1sTI8xT8MwFIR3JP6D9ZBYEHWAKFQhL1VVwQBLRejC5sZuHIifI9tpw7/nMdHxdKe776rV&#10;7AZxNCH2nhDuFhkIQ63XPXUIu4+X2yWImBRpNXgyCD8mwqq+vKhUqf2J3s2xSZ3gEoqlQrApjaWU&#10;sbXGqbjwoyH2Dj44lViGTuqgTlzuBnmfZYV0qidesGo0G2va72ZyCNv8c2tvpsPz2zp/CK+7aVN8&#10;dQ3i9dW8fgKRzJz+w/CHz+hQM9PeT6SjGBD4SEJ4BMFeXhR8Y4+wBFlX8hy9/gUAAP//AwBQSwEC&#10;LQAUAAYACAAAACEAtoM4kv4AAADhAQAAEwAAAAAAAAAAAAAAAAAAAAAAW0NvbnRlbnRfVHlwZXNd&#10;LnhtbFBLAQItABQABgAIAAAAIQA4/SH/1gAAAJQBAAALAAAAAAAAAAAAAAAAAC8BAABfcmVscy8u&#10;cmVsc1BLAQItABQABgAIAAAAIQAHT5zNLAIAAF0EAAAOAAAAAAAAAAAAAAAAAC4CAABkcnMvZTJv&#10;RG9jLnhtbFBLAQItABQABgAIAAAAIQDE/9yh2gAAAAIBAAAPAAAAAAAAAAAAAAAAAIYEAABkcnMv&#10;ZG93bnJldi54bWxQSwUGAAAAAAQABADzAAAAjQUAAAAA&#10;" stroked="f">
                <v:textbox style="mso-fit-shape-to-text:t" inset="0,0,0,0">
                  <w:txbxContent>
                    <w:p w14:paraId="16C112F7" w14:textId="07E9461C" w:rsidR="005069C6" w:rsidRPr="008C72F3" w:rsidRDefault="005069C6" w:rsidP="005069C6">
                      <w:pPr>
                        <w:pStyle w:val="Beschriftung"/>
                        <w:rPr>
                          <w:noProof/>
                          <w:sz w:val="20"/>
                          <w:szCs w:val="24"/>
                        </w:rPr>
                      </w:pPr>
                      <w:r>
                        <w:t xml:space="preserve">Abbildung </w:t>
                      </w:r>
                      <w:r>
                        <w:fldChar w:fldCharType="begin"/>
                      </w:r>
                      <w:r>
                        <w:instrText xml:space="preserve"> SEQ Abbildung \* ARABIC </w:instrText>
                      </w:r>
                      <w:r>
                        <w:fldChar w:fldCharType="separate"/>
                      </w:r>
                      <w:r w:rsidR="004B68C9">
                        <w:rPr>
                          <w:noProof/>
                        </w:rPr>
                        <w:t>2</w:t>
                      </w:r>
                      <w:r>
                        <w:fldChar w:fldCharType="end"/>
                      </w:r>
                      <w:r>
                        <w:t xml:space="preserve"> LSC Modell Kosten</w:t>
                      </w:r>
                    </w:p>
                  </w:txbxContent>
                </v:textbox>
                <w10:wrap anchorx="margin"/>
              </v:shape>
            </w:pict>
          </mc:Fallback>
        </mc:AlternateContent>
      </w:r>
      <w:r>
        <w:rPr>
          <w:noProof/>
        </w:rPr>
        <mc:AlternateContent>
          <mc:Choice Requires="wps">
            <w:drawing>
              <wp:anchor distT="0" distB="0" distL="114300" distR="114300" simplePos="0" relativeHeight="251661312" behindDoc="0" locked="0" layoutInCell="1" allowOverlap="1" wp14:anchorId="0EF40FFB" wp14:editId="502F3C69">
                <wp:simplePos x="0" y="0"/>
                <wp:positionH relativeFrom="column">
                  <wp:posOffset>3079115</wp:posOffset>
                </wp:positionH>
                <wp:positionV relativeFrom="paragraph">
                  <wp:posOffset>6985</wp:posOffset>
                </wp:positionV>
                <wp:extent cx="2675890" cy="635"/>
                <wp:effectExtent l="0" t="0" r="0" b="0"/>
                <wp:wrapNone/>
                <wp:docPr id="1" name="Textfeld 1"/>
                <wp:cNvGraphicFramePr/>
                <a:graphic xmlns:a="http://schemas.openxmlformats.org/drawingml/2006/main">
                  <a:graphicData uri="http://schemas.microsoft.com/office/word/2010/wordprocessingShape">
                    <wps:wsp>
                      <wps:cNvSpPr txBox="1"/>
                      <wps:spPr>
                        <a:xfrm>
                          <a:off x="0" y="0"/>
                          <a:ext cx="2675890" cy="635"/>
                        </a:xfrm>
                        <a:prstGeom prst="rect">
                          <a:avLst/>
                        </a:prstGeom>
                        <a:solidFill>
                          <a:prstClr val="white"/>
                        </a:solidFill>
                        <a:ln>
                          <a:noFill/>
                        </a:ln>
                      </wps:spPr>
                      <wps:txbx>
                        <w:txbxContent>
                          <w:p w14:paraId="2E43D64E" w14:textId="4D9CB730" w:rsidR="005069C6" w:rsidRPr="007C3374" w:rsidRDefault="005069C6" w:rsidP="005069C6">
                            <w:pPr>
                              <w:pStyle w:val="Beschriftung"/>
                              <w:rPr>
                                <w:noProof/>
                                <w:sz w:val="20"/>
                                <w:szCs w:val="24"/>
                              </w:rPr>
                            </w:pPr>
                            <w:r>
                              <w:t xml:space="preserve">Abbildung </w:t>
                            </w:r>
                            <w:r>
                              <w:fldChar w:fldCharType="begin"/>
                            </w:r>
                            <w:r>
                              <w:instrText xml:space="preserve"> SEQ Abbildung \* ARABIC </w:instrText>
                            </w:r>
                            <w:r>
                              <w:fldChar w:fldCharType="separate"/>
                            </w:r>
                            <w:r w:rsidR="004B68C9">
                              <w:rPr>
                                <w:noProof/>
                              </w:rPr>
                              <w:t>3</w:t>
                            </w:r>
                            <w:r>
                              <w:fldChar w:fldCharType="end"/>
                            </w:r>
                            <w:r>
                              <w:t xml:space="preserve"> LSC Modell Emissionen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0EF40FFB" id="Textfeld 1" o:spid="_x0000_s1027" type="#_x0000_t202" style="position:absolute;left:0;text-align:left;margin-left:242.45pt;margin-top:.55pt;width:210.7pt;height:.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fgvLQIAAGQEAAAOAAAAZHJzL2Uyb0RvYy54bWysVMFuGjEQvVfqP1i+lwWq0ASxRJSIqhJK&#10;IkGVs/HarCXb49qGXfr1HXt3SZv2VPViZmeex37vjVnct0aTs/BBgS3pZDSmRFgOlbLHkn7bbz7c&#10;UhIisxXTYEVJLyLQ++X7d4vGzcUUatCV8ASb2DBvXEnrGN28KAKvhWFhBE5YLErwhkX89Mei8qzB&#10;7kYX0/F4VjTgK+eBixAw+9AV6TL3l1Lw+CRlEJHokuLdYl59Xg9pLZYLNj965mrF+2uwf7iFYcri&#10;oddWDywycvLqj1ZGcQ8BZBxxMAVIqbjIHJDNZPyGza5mTmQuKE5wV5nC/2vLH8/PnqgKvaPEMoMW&#10;7UUbpdAVmSR1GhfmCNo5hMX2M7QJ2ecDJhPpVnqTfpEOwTrqfLlqi80Ix+R09unm9g5LHGuzjzep&#10;R/G61fkQvwgwJAUl9Whc1pOdtyF20AGSTgqgVbVRWqePVFhrT84MTW5qFUXf/DeUtglrIe3qGqZM&#10;kfh1PFIU20Pbq9FzPEB1QeoeutEJjm8UnrdlIT4zj7OClHD+4xMuUkNTUugjSmrwP/6WT3i0EKuU&#10;NDh7JQ3fT8wLSvRXi+amQR0CPwSHIbAnswZkiobhbXKIG3zUQyg9mBd8Fqt0CpaY5XhWSeMQrmP3&#10;AvBZcbFaZRCOo2Nxa3eOp9aDrvv2hXnXuxLRzEcYppLN35jTYbM9bnWKqHR2LunaqdjLjaOcve+f&#10;XXorv35n1Oufw/InAAAA//8DAFBLAwQUAAYACAAAACEAA+I8ON0AAAAHAQAADwAAAGRycy9kb3du&#10;cmV2LnhtbEyOwU7DMBBE70j8g7VIXBB12kZRG+JUVQUHuFSEXri58TYOxOsodtrw9ywnehy90cwr&#10;NpPrxBmH0HpSMJ8lIJBqb1pqFBw+Xh5XIELUZHTnCRX8YIBNeXtT6Nz4C73juYqN4BEKuVZgY+xz&#10;KUNt0ekw8z0Ss5MfnI4ch0aaQV943HVykSSZdLolfrC6x53F+rsanYJ9+rm3D+Pp+W2bLofXw7jL&#10;vppKqfu7afsEIuIU/8vwp8/qULLT0Y9kgugUpKt0zVUGcxDM10m2BHHkvABZFvLav/wFAAD//wMA&#10;UEsBAi0AFAAGAAgAAAAhALaDOJL+AAAA4QEAABMAAAAAAAAAAAAAAAAAAAAAAFtDb250ZW50X1R5&#10;cGVzXS54bWxQSwECLQAUAAYACAAAACEAOP0h/9YAAACUAQAACwAAAAAAAAAAAAAAAAAvAQAAX3Jl&#10;bHMvLnJlbHNQSwECLQAUAAYACAAAACEAS8X4Ly0CAABkBAAADgAAAAAAAAAAAAAAAAAuAgAAZHJz&#10;L2Uyb0RvYy54bWxQSwECLQAUAAYACAAAACEAA+I8ON0AAAAHAQAADwAAAAAAAAAAAAAAAACHBAAA&#10;ZHJzL2Rvd25yZXYueG1sUEsFBgAAAAAEAAQA8wAAAJEFAAAAAA==&#10;" stroked="f">
                <v:textbox style="mso-fit-shape-to-text:t" inset="0,0,0,0">
                  <w:txbxContent>
                    <w:p w14:paraId="2E43D64E" w14:textId="4D9CB730" w:rsidR="005069C6" w:rsidRPr="007C3374" w:rsidRDefault="005069C6" w:rsidP="005069C6">
                      <w:pPr>
                        <w:pStyle w:val="Beschriftung"/>
                        <w:rPr>
                          <w:noProof/>
                          <w:sz w:val="20"/>
                          <w:szCs w:val="24"/>
                        </w:rPr>
                      </w:pPr>
                      <w:r>
                        <w:t xml:space="preserve">Abbildung </w:t>
                      </w:r>
                      <w:r>
                        <w:fldChar w:fldCharType="begin"/>
                      </w:r>
                      <w:r>
                        <w:instrText xml:space="preserve"> SEQ Abbildung \* ARABIC </w:instrText>
                      </w:r>
                      <w:r>
                        <w:fldChar w:fldCharType="separate"/>
                      </w:r>
                      <w:r w:rsidR="004B68C9">
                        <w:rPr>
                          <w:noProof/>
                        </w:rPr>
                        <w:t>3</w:t>
                      </w:r>
                      <w:r>
                        <w:fldChar w:fldCharType="end"/>
                      </w:r>
                      <w:r>
                        <w:t xml:space="preserve"> LSC Modell Emissionen</w:t>
                      </w:r>
                    </w:p>
                  </w:txbxContent>
                </v:textbox>
              </v:shape>
            </w:pict>
          </mc:Fallback>
        </mc:AlternateContent>
      </w:r>
    </w:p>
    <w:p w14:paraId="60CAFF2F" w14:textId="3875BAF4" w:rsidR="007C0E82" w:rsidRDefault="007C0E82" w:rsidP="00762CDC"/>
    <w:p w14:paraId="048226B3" w14:textId="40C587BE" w:rsidR="007C0E82" w:rsidRDefault="00B766D6" w:rsidP="00762CDC">
      <w:r>
        <w:t xml:space="preserve">Adaptierte </w:t>
      </w:r>
      <w:r w:rsidR="007C0E82">
        <w:t xml:space="preserve">LSC Geschäftsmodelle können in LSMs angewendet werden. Hierbei ergeben sich jedoch Abhängigkeiten von der lokalen Verteilung der LSCs. LSCs, welche sich in geringerer Entfernung zu den </w:t>
      </w:r>
      <w:r w:rsidR="00E83AB2">
        <w:t xml:space="preserve">Behandlungsanlagen befinden profitieren stärker von den implementierten Geschäftsmodellen. Zusätzlich sind die Handelsprozesse zwischen verschiedenen LSCs </w:t>
      </w:r>
      <w:r>
        <w:t>und</w:t>
      </w:r>
      <w:r w:rsidR="00E83AB2">
        <w:t xml:space="preserve"> der LSM unterschiedlich rentabel. Die lokale Verortung führt damit durch zusätzliche Restriktione</w:t>
      </w:r>
      <w:r>
        <w:t xml:space="preserve">n weg </w:t>
      </w:r>
      <w:r w:rsidR="00E83AB2">
        <w:t>vom theoretischen Optimu</w:t>
      </w:r>
      <w:r>
        <w:t>m</w:t>
      </w:r>
      <w:r w:rsidR="00E83AB2">
        <w:t>.</w:t>
      </w:r>
    </w:p>
    <w:p w14:paraId="28FBFB9B" w14:textId="34344B12" w:rsidR="00E83AB2" w:rsidRDefault="00E83AB2" w:rsidP="00762CDC">
      <w:r>
        <w:t>LSMs können zu Nachhaltigkeitszielen beitragen. Durch die Implementierung über eine gesamte Gemeinde profitieren mehr Konsumenten v</w:t>
      </w:r>
      <w:bookmarkStart w:id="0" w:name="_GoBack"/>
      <w:bookmarkEnd w:id="0"/>
      <w:r>
        <w:t xml:space="preserve">on den implementierten Geschäftsmodellen. </w:t>
      </w:r>
      <w:r w:rsidR="00E900B2">
        <w:t>Das wiederum liefert einen</w:t>
      </w:r>
      <w:r>
        <w:t xml:space="preserve"> zusätzliche</w:t>
      </w:r>
      <w:r w:rsidR="00E900B2">
        <w:t>n</w:t>
      </w:r>
      <w:r>
        <w:t xml:space="preserve"> Anreiz für nachhaltige Ressourcennutzung.</w:t>
      </w:r>
    </w:p>
    <w:p w14:paraId="04E9F585" w14:textId="1D00C0B8" w:rsidR="00E83AB2" w:rsidRPr="007C0E82" w:rsidRDefault="00E83AB2" w:rsidP="00762CDC">
      <w:r>
        <w:t xml:space="preserve">Zusammenfassend sind LSM Geschäftsmodelle eine Erweiterung zu LSC Geschäftsmodellen, wobei zusätzlich auch die lokale Verortung und Investitionen berücksichtigt werden. </w:t>
      </w:r>
      <w:r w:rsidR="00665244">
        <w:t>Die Verortung von LSCs und die Investitionsentscheidungen</w:t>
      </w:r>
      <w:r w:rsidR="00E112DC">
        <w:t xml:space="preserve"> in verschiedene Technologien</w:t>
      </w:r>
      <w:r w:rsidR="00665244">
        <w:t xml:space="preserve"> erhöhen jedoch maßgeblich die Komplexität gegenüber LSC Geschäftsmodellen. Als großer Vorteil ergibt sich eine realitäts</w:t>
      </w:r>
      <w:r w:rsidR="00E112DC">
        <w:t>nähere</w:t>
      </w:r>
      <w:r w:rsidR="00665244">
        <w:t xml:space="preserve"> Abbildung von LSM und LSM Prozessen.</w:t>
      </w:r>
    </w:p>
    <w:p w14:paraId="7EECF8A4" w14:textId="46AE9BFC" w:rsidR="005069C6" w:rsidRPr="005E4D4F" w:rsidRDefault="005069C6" w:rsidP="005069C6">
      <w:pPr>
        <w:pStyle w:val="Ueberschrift"/>
      </w:pPr>
      <w:r>
        <w:t>Danksagung</w:t>
      </w:r>
    </w:p>
    <w:p w14:paraId="60B1828C" w14:textId="55159F61" w:rsidR="00762CDC" w:rsidRDefault="005069C6" w:rsidP="00762CDC">
      <w:r w:rsidRPr="005069C6">
        <w:t xml:space="preserve">Die Arbeit wurde im Rahmen des “Hybrid </w:t>
      </w:r>
      <w:proofErr w:type="spellStart"/>
      <w:r w:rsidRPr="005069C6">
        <w:t>Local</w:t>
      </w:r>
      <w:proofErr w:type="spellEnd"/>
      <w:r w:rsidRPr="005069C6">
        <w:t xml:space="preserve"> </w:t>
      </w:r>
      <w:proofErr w:type="spellStart"/>
      <w:r w:rsidRPr="005069C6">
        <w:t>Sustainable</w:t>
      </w:r>
      <w:proofErr w:type="spellEnd"/>
      <w:r w:rsidRPr="005069C6">
        <w:t xml:space="preserve"> Communities” Projekt durchgeführt und wird mit den Mitteln des Klima- und Energiefonds gefördert und wird im Rahmen der RTI-Initiative “Vorzeigeregion Energie” in Green Energ</w:t>
      </w:r>
      <w:r w:rsidR="00E112DC">
        <w:t>y</w:t>
      </w:r>
      <w:r w:rsidRPr="005069C6">
        <w:t xml:space="preserve"> Lab implementiert</w:t>
      </w:r>
      <w:r>
        <w:t xml:space="preserve"> </w:t>
      </w:r>
      <w:sdt>
        <w:sdtPr>
          <w:id w:val="1277142891"/>
          <w:citation/>
        </w:sdtPr>
        <w:sdtEndPr/>
        <w:sdtContent>
          <w:r>
            <w:fldChar w:fldCharType="begin"/>
          </w:r>
          <w:r>
            <w:rPr>
              <w:lang w:val="de-AT"/>
            </w:rPr>
            <w:instrText xml:space="preserve"> CITATION Gre21 \l 3079 </w:instrText>
          </w:r>
          <w:r>
            <w:fldChar w:fldCharType="separate"/>
          </w:r>
          <w:r w:rsidRPr="005069C6">
            <w:rPr>
              <w:noProof/>
              <w:lang w:val="de-AT"/>
            </w:rPr>
            <w:t>[3]</w:t>
          </w:r>
          <w:r>
            <w:fldChar w:fldCharType="end"/>
          </w:r>
        </w:sdtContent>
      </w:sdt>
      <w:r>
        <w:t>.</w:t>
      </w:r>
    </w:p>
    <w:p w14:paraId="1B0E9064" w14:textId="77777777" w:rsidR="00B766D6" w:rsidRDefault="00762CDC" w:rsidP="005069C6">
      <w:pPr>
        <w:pStyle w:val="Ueberschrift"/>
      </w:pPr>
      <w:bookmarkStart w:id="1" w:name="_Toc68418491"/>
      <w:bookmarkStart w:id="2" w:name="_Toc26086066"/>
      <w:r w:rsidRPr="005E4D4F">
        <w:t>Literatur</w:t>
      </w:r>
      <w:bookmarkEnd w:id="1"/>
      <w:bookmarkEnd w:id="2"/>
    </w:p>
    <w:sdt>
      <w:sdtPr>
        <w:rPr>
          <w:b/>
        </w:rPr>
        <w:id w:val="-811858177"/>
        <w:docPartObj>
          <w:docPartGallery w:val="Bibliographies"/>
          <w:docPartUnique/>
        </w:docPartObj>
      </w:sdtPr>
      <w:sdtEndPr>
        <w:rPr>
          <w:b w:val="0"/>
        </w:rPr>
      </w:sdtEndPr>
      <w:sdtContent>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98"/>
            <w:gridCol w:w="8774"/>
          </w:tblGrid>
          <w:tr w:rsidR="005069C6" w14:paraId="258D9CE4" w14:textId="77777777" w:rsidTr="004B68C9">
            <w:trPr>
              <w:divId w:val="1980383497"/>
              <w:tblCellSpacing w:w="15" w:type="dxa"/>
            </w:trPr>
            <w:tc>
              <w:tcPr>
                <w:tcW w:w="139" w:type="pct"/>
                <w:hideMark/>
              </w:tcPr>
              <w:p w14:paraId="0BDD1948" w14:textId="5CFAE083" w:rsidR="005069C6" w:rsidRDefault="005069C6">
                <w:pPr>
                  <w:pStyle w:val="Literaturverzeichnis"/>
                  <w:rPr>
                    <w:noProof/>
                    <w:sz w:val="24"/>
                  </w:rPr>
                </w:pPr>
                <w:r>
                  <w:rPr>
                    <w:noProof/>
                  </w:rPr>
                  <w:t xml:space="preserve">[1] </w:t>
                </w:r>
              </w:p>
            </w:tc>
            <w:tc>
              <w:tcPr>
                <w:tcW w:w="0" w:type="auto"/>
                <w:hideMark/>
              </w:tcPr>
              <w:p w14:paraId="3C1FA870" w14:textId="7ED3DF26" w:rsidR="005069C6" w:rsidRDefault="005069C6">
                <w:pPr>
                  <w:pStyle w:val="Literaturverzeichnis"/>
                  <w:rPr>
                    <w:noProof/>
                  </w:rPr>
                </w:pPr>
                <w:r w:rsidRPr="005069C6">
                  <w:rPr>
                    <w:noProof/>
                    <w:lang w:val="en-GB"/>
                  </w:rPr>
                  <w:t xml:space="preserve">United Nations, „Causes and Effects of Climate Change,“ [Online]. Available: https://www.un.org/en/climatechange/science/causes-effects-climate-change. </w:t>
                </w:r>
                <w:r>
                  <w:rPr>
                    <w:noProof/>
                  </w:rPr>
                  <w:t>[Zugriff am 21</w:t>
                </w:r>
                <w:r w:rsidR="006A0691">
                  <w:rPr>
                    <w:noProof/>
                  </w:rPr>
                  <w:t>.</w:t>
                </w:r>
                <w:r>
                  <w:rPr>
                    <w:noProof/>
                  </w:rPr>
                  <w:t xml:space="preserve"> 10</w:t>
                </w:r>
                <w:r w:rsidR="006A0691">
                  <w:rPr>
                    <w:noProof/>
                  </w:rPr>
                  <w:t>.</w:t>
                </w:r>
                <w:r>
                  <w:rPr>
                    <w:noProof/>
                  </w:rPr>
                  <w:t xml:space="preserve"> 2022].</w:t>
                </w:r>
              </w:p>
            </w:tc>
          </w:tr>
          <w:tr w:rsidR="005069C6" w14:paraId="482F0355" w14:textId="77777777" w:rsidTr="004B68C9">
            <w:trPr>
              <w:divId w:val="1980383497"/>
              <w:tblCellSpacing w:w="15" w:type="dxa"/>
            </w:trPr>
            <w:tc>
              <w:tcPr>
                <w:tcW w:w="139" w:type="pct"/>
                <w:hideMark/>
              </w:tcPr>
              <w:p w14:paraId="44C8A641" w14:textId="77777777" w:rsidR="005069C6" w:rsidRDefault="005069C6">
                <w:pPr>
                  <w:pStyle w:val="Literaturverzeichnis"/>
                  <w:rPr>
                    <w:noProof/>
                  </w:rPr>
                </w:pPr>
                <w:r>
                  <w:rPr>
                    <w:noProof/>
                  </w:rPr>
                  <w:t xml:space="preserve">[2] </w:t>
                </w:r>
              </w:p>
            </w:tc>
            <w:tc>
              <w:tcPr>
                <w:tcW w:w="0" w:type="auto"/>
                <w:hideMark/>
              </w:tcPr>
              <w:p w14:paraId="609ED3C4" w14:textId="1885DC5F" w:rsidR="005069C6" w:rsidRDefault="005069C6">
                <w:pPr>
                  <w:pStyle w:val="Literaturverzeichnis"/>
                  <w:rPr>
                    <w:noProof/>
                  </w:rPr>
                </w:pPr>
                <w:r>
                  <w:rPr>
                    <w:noProof/>
                  </w:rPr>
                  <w:t xml:space="preserve">Europäische Komission, „Fragen und Antworten: Eine EU-Strategie zur Integration des Energiesystems,“ 8 7 2020. </w:t>
                </w:r>
                <w:r w:rsidRPr="005069C6">
                  <w:rPr>
                    <w:noProof/>
                    <w:lang w:val="en-GB"/>
                  </w:rPr>
                  <w:t xml:space="preserve">[Online]. Available: https://ec.europa.eu/commission/presscorner/detail/de/qanda_20_1258. </w:t>
                </w:r>
                <w:r>
                  <w:rPr>
                    <w:noProof/>
                  </w:rPr>
                  <w:t>[Zugriff am 21</w:t>
                </w:r>
                <w:r w:rsidR="006A0691">
                  <w:rPr>
                    <w:noProof/>
                  </w:rPr>
                  <w:t>.</w:t>
                </w:r>
                <w:r>
                  <w:rPr>
                    <w:noProof/>
                  </w:rPr>
                  <w:t xml:space="preserve"> 10</w:t>
                </w:r>
                <w:r w:rsidR="006A0691">
                  <w:rPr>
                    <w:noProof/>
                  </w:rPr>
                  <w:t>.</w:t>
                </w:r>
                <w:r>
                  <w:rPr>
                    <w:noProof/>
                  </w:rPr>
                  <w:t xml:space="preserve"> 2022].</w:t>
                </w:r>
              </w:p>
            </w:tc>
          </w:tr>
          <w:tr w:rsidR="005069C6" w14:paraId="1C98C352" w14:textId="77777777" w:rsidTr="004B68C9">
            <w:trPr>
              <w:divId w:val="1980383497"/>
              <w:tblCellSpacing w:w="15" w:type="dxa"/>
            </w:trPr>
            <w:tc>
              <w:tcPr>
                <w:tcW w:w="139" w:type="pct"/>
                <w:hideMark/>
              </w:tcPr>
              <w:p w14:paraId="4E9FBAC1" w14:textId="77777777" w:rsidR="005069C6" w:rsidRDefault="005069C6">
                <w:pPr>
                  <w:pStyle w:val="Literaturverzeichnis"/>
                  <w:rPr>
                    <w:noProof/>
                    <w:lang w:val="en-US"/>
                  </w:rPr>
                </w:pPr>
                <w:r>
                  <w:rPr>
                    <w:noProof/>
                    <w:lang w:val="en-US"/>
                  </w:rPr>
                  <w:t xml:space="preserve">[3] </w:t>
                </w:r>
              </w:p>
            </w:tc>
            <w:tc>
              <w:tcPr>
                <w:tcW w:w="0" w:type="auto"/>
                <w:hideMark/>
              </w:tcPr>
              <w:p w14:paraId="60CC6703" w14:textId="5A59413B" w:rsidR="005069C6" w:rsidRDefault="005069C6">
                <w:pPr>
                  <w:pStyle w:val="Literaturverzeichnis"/>
                  <w:rPr>
                    <w:noProof/>
                    <w:lang w:val="en-US"/>
                  </w:rPr>
                </w:pPr>
                <w:r>
                  <w:rPr>
                    <w:noProof/>
                    <w:lang w:val="en-US"/>
                  </w:rPr>
                  <w:t>Green Energy Lab, "Hybrid LSC," [Online]. Available: https://greenenergylab.at/projects/hybrid-lsc/. [</w:t>
                </w:r>
                <w:r w:rsidR="006A0691">
                  <w:rPr>
                    <w:noProof/>
                    <w:lang w:val="en-US"/>
                  </w:rPr>
                  <w:t>Zugriff am 26. 5. 2021</w:t>
                </w:r>
                <w:r>
                  <w:rPr>
                    <w:noProof/>
                    <w:lang w:val="en-US"/>
                  </w:rPr>
                  <w:t>].</w:t>
                </w:r>
              </w:p>
            </w:tc>
          </w:tr>
        </w:tbl>
        <w:p w14:paraId="3D69C37A" w14:textId="7A5B06BD" w:rsidR="008E671F" w:rsidRDefault="000422C7"/>
      </w:sdtContent>
    </w:sdt>
    <w:sectPr w:rsidR="008E671F">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9C7105" w14:textId="77777777" w:rsidR="000422C7" w:rsidRDefault="000422C7" w:rsidP="00762CDC">
      <w:r>
        <w:separator/>
      </w:r>
    </w:p>
  </w:endnote>
  <w:endnote w:type="continuationSeparator" w:id="0">
    <w:p w14:paraId="6AF21086" w14:textId="77777777" w:rsidR="000422C7" w:rsidRDefault="000422C7" w:rsidP="00762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71EB1B" w14:textId="77777777" w:rsidR="000422C7" w:rsidRDefault="000422C7" w:rsidP="00762CDC">
      <w:r>
        <w:separator/>
      </w:r>
    </w:p>
  </w:footnote>
  <w:footnote w:type="continuationSeparator" w:id="0">
    <w:p w14:paraId="2F1D8724" w14:textId="77777777" w:rsidR="000422C7" w:rsidRDefault="000422C7" w:rsidP="00762CDC">
      <w:r>
        <w:continuationSeparator/>
      </w:r>
    </w:p>
  </w:footnote>
  <w:footnote w:id="1">
    <w:p w14:paraId="60081CF4" w14:textId="22242492" w:rsidR="00C14DD1" w:rsidRPr="00FB69AE" w:rsidRDefault="00C14DD1" w:rsidP="00762CDC">
      <w:r w:rsidRPr="00A115D2">
        <w:rPr>
          <w:rStyle w:val="Funotenzeichen"/>
        </w:rPr>
        <w:footnoteRef/>
      </w:r>
      <w:r w:rsidRPr="00D53E86">
        <w:t xml:space="preserve"> </w:t>
      </w:r>
      <w:proofErr w:type="spellStart"/>
      <w:r w:rsidR="009328E7">
        <w:t>Gusshausstrasse</w:t>
      </w:r>
      <w:proofErr w:type="spellEnd"/>
      <w:r w:rsidR="009328E7">
        <w:t xml:space="preserve"> 25-29/370-3, +43 1 58801–370 365, maldet@eeg.tuwien.ac.at, https://eeg.tuwien.ac.at/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DDC"/>
    <w:rsid w:val="000422C7"/>
    <w:rsid w:val="00046101"/>
    <w:rsid w:val="002D1A16"/>
    <w:rsid w:val="00386207"/>
    <w:rsid w:val="004B68C9"/>
    <w:rsid w:val="005069C6"/>
    <w:rsid w:val="00665244"/>
    <w:rsid w:val="00682766"/>
    <w:rsid w:val="006A0691"/>
    <w:rsid w:val="00762CDC"/>
    <w:rsid w:val="007C0E82"/>
    <w:rsid w:val="007C5DDC"/>
    <w:rsid w:val="007F6F2B"/>
    <w:rsid w:val="008660AE"/>
    <w:rsid w:val="008C15F2"/>
    <w:rsid w:val="008E671F"/>
    <w:rsid w:val="009328E7"/>
    <w:rsid w:val="009817F7"/>
    <w:rsid w:val="00B2373F"/>
    <w:rsid w:val="00B766D6"/>
    <w:rsid w:val="00BC6A49"/>
    <w:rsid w:val="00C14DD1"/>
    <w:rsid w:val="00D5290E"/>
    <w:rsid w:val="00DB19D1"/>
    <w:rsid w:val="00E0598F"/>
    <w:rsid w:val="00E112DC"/>
    <w:rsid w:val="00E53D28"/>
    <w:rsid w:val="00E60174"/>
    <w:rsid w:val="00E83AB2"/>
    <w:rsid w:val="00E900B2"/>
    <w:rsid w:val="00EF36F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F942C"/>
  <w15:chartTrackingRefBased/>
  <w15:docId w15:val="{A66D05E3-2930-479E-BFBE-4A70B0E99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762CDC"/>
    <w:pPr>
      <w:spacing w:after="0" w:line="240" w:lineRule="auto"/>
      <w:jc w:val="both"/>
    </w:pPr>
    <w:rPr>
      <w:rFonts w:ascii="Arial" w:eastAsia="Times New Roman" w:hAnsi="Arial" w:cs="Times New Roman"/>
      <w:sz w:val="20"/>
      <w:szCs w:val="24"/>
      <w:lang w:val="de-DE" w:eastAsia="ko-KR"/>
    </w:rPr>
  </w:style>
  <w:style w:type="paragraph" w:styleId="berschrift1">
    <w:name w:val="heading 1"/>
    <w:basedOn w:val="Standard"/>
    <w:next w:val="Standard"/>
    <w:link w:val="berschrift1Zchn"/>
    <w:uiPriority w:val="9"/>
    <w:qFormat/>
    <w:rsid w:val="005069C6"/>
    <w:pPr>
      <w:keepNext/>
      <w:keepLines/>
      <w:spacing w:before="240" w:line="259" w:lineRule="auto"/>
      <w:jc w:val="left"/>
      <w:outlineLvl w:val="0"/>
    </w:pPr>
    <w:rPr>
      <w:rFonts w:asciiTheme="majorHAnsi" w:eastAsiaTheme="majorEastAsia" w:hAnsiTheme="majorHAnsi" w:cstheme="majorBidi"/>
      <w:color w:val="2F5496" w:themeColor="accent1" w:themeShade="BF"/>
      <w:sz w:val="32"/>
      <w:szCs w:val="32"/>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aliases w:val="Footnote Reference Number,-E Fußnotenzeichen,(Diplomarbeit FZ),(Diplomarbeit FZ)1,(Diplomarbeit FZ)2,(Diplomarbeit FZ)3,(Diplomarbeit FZ)4,(Diplomarbeit FZ)5,(Diplomarbeit FZ)6,(Diplomarbeit FZ)7,(Diplomarbeit FZ)8,(Diplomarbeit FZ)9"/>
    <w:semiHidden/>
    <w:rsid w:val="00762CDC"/>
    <w:rPr>
      <w:vertAlign w:val="superscript"/>
    </w:rPr>
  </w:style>
  <w:style w:type="paragraph" w:customStyle="1" w:styleId="Abbildungsbeschriftung">
    <w:name w:val="Abbildungsbeschriftung"/>
    <w:basedOn w:val="Standard"/>
    <w:rsid w:val="00762CDC"/>
    <w:rPr>
      <w:i/>
      <w:iCs/>
    </w:rPr>
  </w:style>
  <w:style w:type="paragraph" w:customStyle="1" w:styleId="Ueberschrift">
    <w:name w:val="Ueberschrift"/>
    <w:basedOn w:val="Standard"/>
    <w:link w:val="UeberschriftChar"/>
    <w:rsid w:val="00762CDC"/>
    <w:pPr>
      <w:spacing w:before="120" w:after="120"/>
    </w:pPr>
    <w:rPr>
      <w:b/>
      <w:spacing w:val="-5"/>
      <w:sz w:val="22"/>
      <w:lang w:eastAsia="de-DE"/>
    </w:rPr>
  </w:style>
  <w:style w:type="character" w:customStyle="1" w:styleId="UeberschriftChar">
    <w:name w:val="Ueberschrift Char"/>
    <w:link w:val="Ueberschrift"/>
    <w:rsid w:val="00762CDC"/>
    <w:rPr>
      <w:rFonts w:ascii="Arial" w:eastAsia="Times New Roman" w:hAnsi="Arial" w:cs="Times New Roman"/>
      <w:b/>
      <w:spacing w:val="-5"/>
      <w:szCs w:val="24"/>
      <w:lang w:val="de-DE" w:eastAsia="de-DE"/>
    </w:rPr>
  </w:style>
  <w:style w:type="paragraph" w:customStyle="1" w:styleId="Abstract-Titel">
    <w:name w:val="Abstract-Titel"/>
    <w:basedOn w:val="Titel"/>
    <w:rsid w:val="00762CDC"/>
    <w:pPr>
      <w:pageBreakBefore/>
      <w:spacing w:before="120" w:after="120"/>
      <w:contextualSpacing w:val="0"/>
      <w:jc w:val="center"/>
    </w:pPr>
    <w:rPr>
      <w:rFonts w:ascii="Arial" w:eastAsia="Times New Roman" w:hAnsi="Arial" w:cs="Arial"/>
      <w:b/>
      <w:snapToGrid w:val="0"/>
      <w:spacing w:val="0"/>
      <w:sz w:val="32"/>
      <w:szCs w:val="20"/>
      <w:lang w:eastAsia="en-US"/>
    </w:rPr>
  </w:style>
  <w:style w:type="paragraph" w:customStyle="1" w:styleId="AutorenOrganisation">
    <w:name w:val="Autoren &amp; Organisation"/>
    <w:basedOn w:val="Standard"/>
    <w:rsid w:val="00762CDC"/>
    <w:pPr>
      <w:tabs>
        <w:tab w:val="left" w:pos="1560"/>
      </w:tabs>
      <w:overflowPunct w:val="0"/>
      <w:autoSpaceDE w:val="0"/>
      <w:autoSpaceDN w:val="0"/>
      <w:adjustRightInd w:val="0"/>
      <w:jc w:val="center"/>
      <w:textAlignment w:val="baseline"/>
    </w:pPr>
    <w:rPr>
      <w:rFonts w:cs="Arial"/>
      <w:color w:val="181512"/>
      <w:spacing w:val="-5"/>
      <w:sz w:val="24"/>
      <w:lang w:val="de-AT" w:eastAsia="de-DE"/>
    </w:rPr>
  </w:style>
  <w:style w:type="paragraph" w:customStyle="1" w:styleId="Literatur">
    <w:name w:val="Literatur"/>
    <w:basedOn w:val="Standard"/>
    <w:rsid w:val="00762CDC"/>
    <w:pPr>
      <w:ind w:left="284" w:hanging="284"/>
    </w:pPr>
    <w:rPr>
      <w:rFonts w:cs="Arial"/>
      <w:szCs w:val="20"/>
      <w:lang w:eastAsia="de-DE"/>
    </w:rPr>
  </w:style>
  <w:style w:type="paragraph" w:styleId="Titel">
    <w:name w:val="Title"/>
    <w:basedOn w:val="Standard"/>
    <w:next w:val="Standard"/>
    <w:link w:val="TitelZchn"/>
    <w:uiPriority w:val="10"/>
    <w:qFormat/>
    <w:rsid w:val="00762CDC"/>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762CDC"/>
    <w:rPr>
      <w:rFonts w:asciiTheme="majorHAnsi" w:eastAsiaTheme="majorEastAsia" w:hAnsiTheme="majorHAnsi" w:cstheme="majorBidi"/>
      <w:spacing w:val="-10"/>
      <w:kern w:val="28"/>
      <w:sz w:val="56"/>
      <w:szCs w:val="56"/>
      <w:lang w:val="de-DE" w:eastAsia="ko-KR"/>
    </w:rPr>
  </w:style>
  <w:style w:type="character" w:styleId="Platzhaltertext">
    <w:name w:val="Placeholder Text"/>
    <w:basedOn w:val="Absatz-Standardschriftart"/>
    <w:uiPriority w:val="99"/>
    <w:semiHidden/>
    <w:rsid w:val="00762CDC"/>
    <w:rPr>
      <w:color w:val="808080"/>
    </w:rPr>
  </w:style>
  <w:style w:type="character" w:customStyle="1" w:styleId="berschrift1Zchn">
    <w:name w:val="Überschrift 1 Zchn"/>
    <w:basedOn w:val="Absatz-Standardschriftart"/>
    <w:link w:val="berschrift1"/>
    <w:uiPriority w:val="9"/>
    <w:rsid w:val="005069C6"/>
    <w:rPr>
      <w:rFonts w:asciiTheme="majorHAnsi" w:eastAsiaTheme="majorEastAsia" w:hAnsiTheme="majorHAnsi" w:cstheme="majorBidi"/>
      <w:color w:val="2F5496" w:themeColor="accent1" w:themeShade="BF"/>
      <w:sz w:val="32"/>
      <w:szCs w:val="32"/>
      <w:lang w:eastAsia="de-AT"/>
    </w:rPr>
  </w:style>
  <w:style w:type="paragraph" w:styleId="Literaturverzeichnis">
    <w:name w:val="Bibliography"/>
    <w:basedOn w:val="Standard"/>
    <w:next w:val="Standard"/>
    <w:uiPriority w:val="37"/>
    <w:unhideWhenUsed/>
    <w:rsid w:val="005069C6"/>
  </w:style>
  <w:style w:type="paragraph" w:styleId="Beschriftung">
    <w:name w:val="caption"/>
    <w:basedOn w:val="Standard"/>
    <w:next w:val="Standard"/>
    <w:uiPriority w:val="35"/>
    <w:unhideWhenUsed/>
    <w:qFormat/>
    <w:rsid w:val="005069C6"/>
    <w:pPr>
      <w:spacing w:after="200"/>
    </w:pPr>
    <w:rPr>
      <w:i/>
      <w:iCs/>
      <w:color w:val="44546A" w:themeColor="text2"/>
      <w:sz w:val="18"/>
      <w:szCs w:val="18"/>
    </w:rPr>
  </w:style>
  <w:style w:type="paragraph" w:styleId="Kopfzeile">
    <w:name w:val="header"/>
    <w:basedOn w:val="Standard"/>
    <w:link w:val="KopfzeileZchn"/>
    <w:uiPriority w:val="99"/>
    <w:unhideWhenUsed/>
    <w:rsid w:val="004B68C9"/>
    <w:pPr>
      <w:tabs>
        <w:tab w:val="center" w:pos="4536"/>
        <w:tab w:val="right" w:pos="9072"/>
      </w:tabs>
    </w:pPr>
  </w:style>
  <w:style w:type="character" w:customStyle="1" w:styleId="KopfzeileZchn">
    <w:name w:val="Kopfzeile Zchn"/>
    <w:basedOn w:val="Absatz-Standardschriftart"/>
    <w:link w:val="Kopfzeile"/>
    <w:uiPriority w:val="99"/>
    <w:rsid w:val="004B68C9"/>
    <w:rPr>
      <w:rFonts w:ascii="Arial" w:eastAsia="Times New Roman" w:hAnsi="Arial" w:cs="Times New Roman"/>
      <w:sz w:val="20"/>
      <w:szCs w:val="24"/>
      <w:lang w:val="de-DE" w:eastAsia="ko-KR"/>
    </w:rPr>
  </w:style>
  <w:style w:type="paragraph" w:styleId="Fuzeile">
    <w:name w:val="footer"/>
    <w:basedOn w:val="Standard"/>
    <w:link w:val="FuzeileZchn"/>
    <w:uiPriority w:val="99"/>
    <w:unhideWhenUsed/>
    <w:rsid w:val="004B68C9"/>
    <w:pPr>
      <w:tabs>
        <w:tab w:val="center" w:pos="4536"/>
        <w:tab w:val="right" w:pos="9072"/>
      </w:tabs>
    </w:pPr>
  </w:style>
  <w:style w:type="character" w:customStyle="1" w:styleId="FuzeileZchn">
    <w:name w:val="Fußzeile Zchn"/>
    <w:basedOn w:val="Absatz-Standardschriftart"/>
    <w:link w:val="Fuzeile"/>
    <w:uiPriority w:val="99"/>
    <w:rsid w:val="004B68C9"/>
    <w:rPr>
      <w:rFonts w:ascii="Arial" w:eastAsia="Times New Roman" w:hAnsi="Arial" w:cs="Times New Roman"/>
      <w:sz w:val="20"/>
      <w:szCs w:val="24"/>
      <w:lang w:val="de-DE"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479666">
      <w:bodyDiv w:val="1"/>
      <w:marLeft w:val="0"/>
      <w:marRight w:val="0"/>
      <w:marTop w:val="0"/>
      <w:marBottom w:val="0"/>
      <w:divBdr>
        <w:top w:val="none" w:sz="0" w:space="0" w:color="auto"/>
        <w:left w:val="none" w:sz="0" w:space="0" w:color="auto"/>
        <w:bottom w:val="none" w:sz="0" w:space="0" w:color="auto"/>
        <w:right w:val="none" w:sz="0" w:space="0" w:color="auto"/>
      </w:divBdr>
    </w:div>
    <w:div w:id="328800623">
      <w:bodyDiv w:val="1"/>
      <w:marLeft w:val="0"/>
      <w:marRight w:val="0"/>
      <w:marTop w:val="0"/>
      <w:marBottom w:val="0"/>
      <w:divBdr>
        <w:top w:val="none" w:sz="0" w:space="0" w:color="auto"/>
        <w:left w:val="none" w:sz="0" w:space="0" w:color="auto"/>
        <w:bottom w:val="none" w:sz="0" w:space="0" w:color="auto"/>
        <w:right w:val="none" w:sz="0" w:space="0" w:color="auto"/>
      </w:divBdr>
    </w:div>
    <w:div w:id="486634439">
      <w:bodyDiv w:val="1"/>
      <w:marLeft w:val="0"/>
      <w:marRight w:val="0"/>
      <w:marTop w:val="0"/>
      <w:marBottom w:val="0"/>
      <w:divBdr>
        <w:top w:val="none" w:sz="0" w:space="0" w:color="auto"/>
        <w:left w:val="none" w:sz="0" w:space="0" w:color="auto"/>
        <w:bottom w:val="none" w:sz="0" w:space="0" w:color="auto"/>
        <w:right w:val="none" w:sz="0" w:space="0" w:color="auto"/>
      </w:divBdr>
    </w:div>
    <w:div w:id="1053119215">
      <w:bodyDiv w:val="1"/>
      <w:marLeft w:val="0"/>
      <w:marRight w:val="0"/>
      <w:marTop w:val="0"/>
      <w:marBottom w:val="0"/>
      <w:divBdr>
        <w:top w:val="none" w:sz="0" w:space="0" w:color="auto"/>
        <w:left w:val="none" w:sz="0" w:space="0" w:color="auto"/>
        <w:bottom w:val="none" w:sz="0" w:space="0" w:color="auto"/>
        <w:right w:val="none" w:sz="0" w:space="0" w:color="auto"/>
      </w:divBdr>
    </w:div>
    <w:div w:id="1508984389">
      <w:bodyDiv w:val="1"/>
      <w:marLeft w:val="0"/>
      <w:marRight w:val="0"/>
      <w:marTop w:val="0"/>
      <w:marBottom w:val="0"/>
      <w:divBdr>
        <w:top w:val="none" w:sz="0" w:space="0" w:color="auto"/>
        <w:left w:val="none" w:sz="0" w:space="0" w:color="auto"/>
        <w:bottom w:val="none" w:sz="0" w:space="0" w:color="auto"/>
        <w:right w:val="none" w:sz="0" w:space="0" w:color="auto"/>
      </w:divBdr>
    </w:div>
    <w:div w:id="1543130294">
      <w:bodyDiv w:val="1"/>
      <w:marLeft w:val="0"/>
      <w:marRight w:val="0"/>
      <w:marTop w:val="0"/>
      <w:marBottom w:val="0"/>
      <w:divBdr>
        <w:top w:val="none" w:sz="0" w:space="0" w:color="auto"/>
        <w:left w:val="none" w:sz="0" w:space="0" w:color="auto"/>
        <w:bottom w:val="none" w:sz="0" w:space="0" w:color="auto"/>
        <w:right w:val="none" w:sz="0" w:space="0" w:color="auto"/>
      </w:divBdr>
    </w:div>
    <w:div w:id="1980383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Gre21</b:Tag>
    <b:SourceType>InternetSite</b:SourceType>
    <b:Guid>{81BEC3F8-1112-46A5-A435-3DF9E218FCB5}</b:Guid>
    <b:Title>Hybrid LSC</b:Title>
    <b:Author>
      <b:Author>
        <b:Corporate>Green Energy Lab</b:Corporate>
      </b:Author>
    </b:Author>
    <b:YearAccessed>2021</b:YearAccessed>
    <b:MonthAccessed>May</b:MonthAccessed>
    <b:DayAccessed>26</b:DayAccessed>
    <b:URL>https://greenenergylab.at/projects/hybrid-lsc/</b:URL>
    <b:LCID>en-US</b:LCID>
    <b:RefOrder>3</b:RefOrder>
  </b:Source>
  <b:Source>
    <b:Tag>Uni22</b:Tag>
    <b:SourceType>InternetSite</b:SourceType>
    <b:Guid>{5E0F93DD-EAA0-45C5-920B-755BF43880BB}</b:Guid>
    <b:Author>
      <b:Author>
        <b:Corporate>United Nations</b:Corporate>
      </b:Author>
    </b:Author>
    <b:YearAccessed>2022</b:YearAccessed>
    <b:MonthAccessed>10</b:MonthAccessed>
    <b:DayAccessed>21</b:DayAccessed>
    <b:URL>https://www.un.org/en/climatechange/science/causes-effects-climate-change</b:URL>
    <b:Title>Causes and Effects of Climate Change</b:Title>
    <b:RefOrder>1</b:RefOrder>
  </b:Source>
  <b:Source>
    <b:Tag>Eur20</b:Tag>
    <b:SourceType>InternetSite</b:SourceType>
    <b:Guid>{BCF999BC-9B2B-4446-A823-2DF366D8E9BE}</b:Guid>
    <b:Author>
      <b:Author>
        <b:Corporate>Europäische Komission</b:Corporate>
      </b:Author>
    </b:Author>
    <b:Title>Fragen und Antworten: Eine EU-Strategie zur Integration des Energiesystems</b:Title>
    <b:Year>2020</b:Year>
    <b:Month>7</b:Month>
    <b:Day>8</b:Day>
    <b:YearAccessed>2022</b:YearAccessed>
    <b:MonthAccessed>10</b:MonthAccessed>
    <b:DayAccessed>21</b:DayAccessed>
    <b:URL>https://ec.europa.eu/commission/presscorner/detail/de/qanda_20_1258</b:URL>
    <b:RefOrder>2</b:RefOrder>
  </b:Source>
</b:Sources>
</file>

<file path=customXml/itemProps1.xml><?xml version="1.0" encoding="utf-8"?>
<ds:datastoreItem xmlns:ds="http://schemas.openxmlformats.org/officeDocument/2006/customXml" ds:itemID="{51391A22-63DD-40E3-91E9-A129E672E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694</Words>
  <Characters>4375</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TU Wien</Company>
  <LinksUpToDate>false</LinksUpToDate>
  <CharactersWithSpaces>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Maldet, Matthias</dc:creator>
  <cp:keywords/>
  <dc:description/>
  <cp:lastModifiedBy>Maldet, Matthias</cp:lastModifiedBy>
  <cp:revision>14</cp:revision>
  <dcterms:created xsi:type="dcterms:W3CDTF">2022-10-25T15:13:00Z</dcterms:created>
  <dcterms:modified xsi:type="dcterms:W3CDTF">2022-11-11T10:31:00Z</dcterms:modified>
</cp:coreProperties>
</file>