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1A21" w14:textId="292D3564" w:rsidR="005E4D4F" w:rsidRPr="005E4D4F" w:rsidRDefault="002A545D" w:rsidP="005E4D4F">
      <w:pPr>
        <w:pStyle w:val="Abstract-Titel"/>
      </w:pPr>
      <w:r>
        <w:t>Die Rolle de</w:t>
      </w:r>
      <w:r w:rsidR="007746CE">
        <w:t>r Energieeffizienz in der Transformation zur Klimaneutralität – Beispiel KMUs in Unterkärnten</w:t>
      </w:r>
    </w:p>
    <w:p w14:paraId="47B52241" w14:textId="66AA2E2A" w:rsidR="00BF05FA" w:rsidRDefault="002A545D" w:rsidP="00A156E4">
      <w:pPr>
        <w:pStyle w:val="AutorenOrganisation"/>
      </w:pPr>
      <w:r>
        <w:t>Thema: „</w:t>
      </w:r>
      <w:proofErr w:type="spellStart"/>
      <w:r w:rsidR="001D00A2">
        <w:t>Dekarbonisierung</w:t>
      </w:r>
      <w:proofErr w:type="spellEnd"/>
      <w:r w:rsidR="001D00A2">
        <w:t>: Industriesektor</w:t>
      </w:r>
      <w:r>
        <w:t>“</w:t>
      </w:r>
    </w:p>
    <w:p w14:paraId="0AEFEF48" w14:textId="1889036D" w:rsidR="005E4D4F" w:rsidRPr="005E4D4F" w:rsidRDefault="001D00A2" w:rsidP="00A156E4">
      <w:pPr>
        <w:pStyle w:val="AutorenOrganisation"/>
      </w:pPr>
      <w:r>
        <w:t xml:space="preserve">Andreas Christian </w:t>
      </w:r>
      <w:proofErr w:type="gramStart"/>
      <w:r>
        <w:t>MELTZER</w:t>
      </w:r>
      <w:r w:rsidRPr="00A156E4">
        <w:rPr>
          <w:vertAlign w:val="superscript"/>
        </w:rPr>
        <w:t>(</w:t>
      </w:r>
      <w:proofErr w:type="gramEnd"/>
      <w:r w:rsidRPr="00A156E4">
        <w:rPr>
          <w:vertAlign w:val="superscript"/>
        </w:rPr>
        <w:t>1</w:t>
      </w:r>
      <w:r>
        <w:rPr>
          <w:vertAlign w:val="superscript"/>
        </w:rPr>
        <w:t>)</w:t>
      </w:r>
      <w:r>
        <w:t>, Martin BEERMANN</w:t>
      </w:r>
      <w:r w:rsidRPr="00A156E4">
        <w:rPr>
          <w:vertAlign w:val="superscript"/>
        </w:rPr>
        <w:t>(1</w:t>
      </w:r>
      <w:r>
        <w:rPr>
          <w:vertAlign w:val="superscript"/>
        </w:rPr>
        <w:t>)</w:t>
      </w:r>
      <w:r>
        <w:t>, Gerfried JUNGMEIER</w:t>
      </w:r>
      <w:r w:rsidR="00A156E4" w:rsidRPr="00A156E4">
        <w:rPr>
          <w:vertAlign w:val="superscript"/>
        </w:rPr>
        <w:t>(1</w:t>
      </w:r>
      <w:r w:rsidR="00A156E4">
        <w:rPr>
          <w:vertAlign w:val="superscript"/>
        </w:rPr>
        <w:t>)</w:t>
      </w:r>
    </w:p>
    <w:p w14:paraId="0412860C" w14:textId="55AD3FF7" w:rsidR="001D00A2" w:rsidRPr="00A14CA4" w:rsidRDefault="00A156E4" w:rsidP="001D00A2">
      <w:pPr>
        <w:pStyle w:val="Listenabsatz"/>
        <w:ind w:left="1074" w:firstLine="0"/>
        <w:rPr>
          <w:rFonts w:cs="Arial"/>
          <w:sz w:val="18"/>
          <w:szCs w:val="18"/>
          <w:lang w:val="de-AT"/>
        </w:rPr>
      </w:pPr>
      <w:r w:rsidRPr="00CF7ECF">
        <w:rPr>
          <w:vertAlign w:val="superscript"/>
          <w:lang w:val="de-AT"/>
        </w:rPr>
        <w:t>(</w:t>
      </w:r>
      <w:r w:rsidR="00010E92" w:rsidRPr="00CF7ECF">
        <w:rPr>
          <w:vertAlign w:val="superscript"/>
          <w:lang w:val="de-AT"/>
        </w:rPr>
        <w:t>1</w:t>
      </w:r>
      <w:r w:rsidRPr="00CF7ECF">
        <w:rPr>
          <w:vertAlign w:val="superscript"/>
          <w:lang w:val="de-AT"/>
        </w:rPr>
        <w:t>)</w:t>
      </w:r>
      <w:r w:rsidR="001D00A2" w:rsidRPr="001D00A2">
        <w:rPr>
          <w:sz w:val="18"/>
          <w:szCs w:val="18"/>
          <w:lang w:val="de-AT"/>
        </w:rPr>
        <w:t xml:space="preserve"> </w:t>
      </w:r>
      <w:r w:rsidR="001D00A2" w:rsidRPr="00A14CA4">
        <w:rPr>
          <w:rFonts w:cs="Arial"/>
          <w:sz w:val="18"/>
          <w:szCs w:val="18"/>
          <w:lang w:val="de-AT"/>
        </w:rPr>
        <w:t xml:space="preserve">JOANNEUM RESEARCH Forschungsgesellschaft mbH, </w:t>
      </w:r>
      <w:proofErr w:type="spellStart"/>
      <w:r w:rsidR="001D00A2" w:rsidRPr="00A14CA4">
        <w:rPr>
          <w:rFonts w:cs="Arial"/>
          <w:sz w:val="18"/>
          <w:szCs w:val="18"/>
          <w:lang w:val="de-AT"/>
        </w:rPr>
        <w:t>Lakeside</w:t>
      </w:r>
      <w:proofErr w:type="spellEnd"/>
      <w:r w:rsidR="001D00A2" w:rsidRPr="00A14CA4">
        <w:rPr>
          <w:rFonts w:cs="Arial"/>
          <w:sz w:val="18"/>
          <w:szCs w:val="18"/>
          <w:lang w:val="de-AT"/>
        </w:rPr>
        <w:t xml:space="preserve"> B13b, A-9020 Klagenfurt, Austria, +436646028767636, </w:t>
      </w:r>
      <w:hyperlink r:id="rId8" w:tooltip="mailto:andreas.meltzer@joanneum.at" w:history="1">
        <w:r w:rsidR="001D00A2" w:rsidRPr="00A14CA4">
          <w:rPr>
            <w:rFonts w:cs="Arial"/>
            <w:sz w:val="18"/>
            <w:szCs w:val="18"/>
            <w:lang w:val="de-AT"/>
          </w:rPr>
          <w:t>andreas.meltzer@joanneum.at</w:t>
        </w:r>
      </w:hyperlink>
      <w:r w:rsidR="001D00A2" w:rsidRPr="00A14CA4">
        <w:rPr>
          <w:rFonts w:cs="Arial"/>
          <w:sz w:val="18"/>
          <w:szCs w:val="18"/>
          <w:lang w:val="de-AT"/>
        </w:rPr>
        <w:t xml:space="preserve">, </w:t>
      </w:r>
      <w:hyperlink r:id="rId9" w:tooltip="https://www.joanneum.at/" w:history="1">
        <w:r w:rsidR="001D00A2" w:rsidRPr="00A14CA4">
          <w:rPr>
            <w:rFonts w:cs="Arial"/>
            <w:sz w:val="18"/>
            <w:szCs w:val="18"/>
            <w:lang w:val="de-AT"/>
          </w:rPr>
          <w:t>https://www.joanneum.at/</w:t>
        </w:r>
      </w:hyperlink>
    </w:p>
    <w:p w14:paraId="31BB6490" w14:textId="544C096D" w:rsidR="005E4D4F" w:rsidRDefault="005E4D4F" w:rsidP="005E4D4F">
      <w:pPr>
        <w:pStyle w:val="AutorenOrganisation"/>
      </w:pPr>
    </w:p>
    <w:p w14:paraId="7D0DC61F" w14:textId="77777777" w:rsidR="00A07737" w:rsidRPr="005E4D4F" w:rsidRDefault="00A07737" w:rsidP="00FB69AE">
      <w:pPr>
        <w:rPr>
          <w:lang w:val="de-AT"/>
        </w:rPr>
      </w:pPr>
    </w:p>
    <w:p w14:paraId="2AF0AAB6" w14:textId="4E013C37" w:rsidR="000169EA" w:rsidRPr="007746CE" w:rsidRDefault="005E4D4F" w:rsidP="007746CE">
      <w:pPr>
        <w:pStyle w:val="Ueberschrift"/>
      </w:pPr>
      <w:r w:rsidRPr="005E4D4F">
        <w:t>Motivation und zentrale Fragestellung</w:t>
      </w:r>
    </w:p>
    <w:p w14:paraId="41C736CC" w14:textId="3BDBE8D1" w:rsidR="007746CE" w:rsidRDefault="007746CE" w:rsidP="007746CE">
      <w:r>
        <w:t>Das Ziel der Klimaneutralität bis 2040 stellt Unternehmen des produzierenden Sektors vor große Herausforderungen. Insbesondere klein- und mittelständische Unternehmen haben oftmals Schwierigkeiten</w:t>
      </w:r>
      <w:r w:rsidR="00B21F5F">
        <w:t>,</w:t>
      </w:r>
      <w:r>
        <w:t xml:space="preserve"> die erforderlichen Maßnahmen zu identifizieren und umzusetzen. Im Rahmen des LOCA2-Projekts</w:t>
      </w:r>
      <w:r w:rsidR="00371180">
        <w:rPr>
          <w:rStyle w:val="Funotenzeichen"/>
        </w:rPr>
        <w:footnoteReference w:id="1"/>
      </w:r>
      <w:r>
        <w:t xml:space="preserve"> wurde am Beispiel der Industrieregion Unterkärnten </w:t>
      </w:r>
      <w:r w:rsidR="005A278A">
        <w:t xml:space="preserve">(Bezirke </w:t>
      </w:r>
      <w:proofErr w:type="spellStart"/>
      <w:r w:rsidR="005A278A">
        <w:t>St.Veit</w:t>
      </w:r>
      <w:proofErr w:type="spellEnd"/>
      <w:r w:rsidR="005A278A">
        <w:t xml:space="preserve">, Völkermarkt und Wolfsberg) </w:t>
      </w:r>
      <w:r>
        <w:t xml:space="preserve">untersucht, welche Maßnahmen in den verschiedenen Industriebranchen umgesetzt werden müssen, um die Klimaziele zu erreichen. </w:t>
      </w:r>
      <w:r w:rsidR="0054387E">
        <w:t>Dafür wurde ein Modell entwickelt, dass die Wirkung unterschiedlicher Maßnahmen auf die THG-Emissionen der Industriebetriebe abbildet. Auf Basis diverser Modell-Szenarien wurden sog. Transformationspfade abgeleitet, mit deren Umsetzung das Ziel der Klimaneutralität erreicht werden kann.</w:t>
      </w:r>
      <w:r>
        <w:t xml:space="preserve"> </w:t>
      </w:r>
      <w:r w:rsidR="0054387E">
        <w:t>Basierend auf den</w:t>
      </w:r>
      <w:r>
        <w:t xml:space="preserve"> Erkenntnisse</w:t>
      </w:r>
      <w:r w:rsidR="0054387E">
        <w:t>n</w:t>
      </w:r>
      <w:r>
        <w:t xml:space="preserve"> wurde ein Handbuch entworfen, das den betroffenen Entscheidungsträgern Handlungsempfehlungen vermittelt</w:t>
      </w:r>
      <w:r w:rsidR="00C97493">
        <w:t>,</w:t>
      </w:r>
      <w:r>
        <w:t xml:space="preserve"> um evidenzbasierte Maßnahmen zur Erreichung der Klimaziele zu implementieren. </w:t>
      </w:r>
    </w:p>
    <w:p w14:paraId="041A4D9D" w14:textId="029C8A03" w:rsidR="005E4D4F" w:rsidRPr="005E4D4F" w:rsidRDefault="005E4D4F" w:rsidP="00227125"/>
    <w:p w14:paraId="00203371" w14:textId="77777777" w:rsidR="005E4D4F" w:rsidRPr="005E4D4F" w:rsidRDefault="005E4D4F" w:rsidP="005E4D4F">
      <w:pPr>
        <w:pStyle w:val="Ueberschrift"/>
      </w:pPr>
      <w:r w:rsidRPr="005E4D4F">
        <w:t>Methodische Vorgangsweise</w:t>
      </w:r>
    </w:p>
    <w:p w14:paraId="4A077EFB" w14:textId="3CF4B086" w:rsidR="00AE54CF" w:rsidRDefault="00632419" w:rsidP="00227125">
      <w:r>
        <w:t xml:space="preserve">Hauptziel war es herauszufinden, unter welchen Rahmenbedingungen und mit welchen </w:t>
      </w:r>
      <w:r w:rsidR="0094155A">
        <w:t>Maßnahmen</w:t>
      </w:r>
      <w:r>
        <w:t xml:space="preserve"> die Klimaziele für die Betriebe in Unterkärnten erreicht werden können. Dafür wurden in einem ersten Schritt die Energieverbräuche aller produzierenden Unternehmen in der Region abgeschätzt. Dazu wurden Daten der Statistik Austria zu</w:t>
      </w:r>
      <w:r w:rsidR="00653383">
        <w:t>m</w:t>
      </w:r>
      <w:r>
        <w:t xml:space="preserve"> </w:t>
      </w:r>
      <w:r w:rsidR="00074205">
        <w:t>End- bzw. Nutz-</w:t>
      </w:r>
      <w:r w:rsidR="00653383">
        <w:t xml:space="preserve">Energiebedarf </w:t>
      </w:r>
      <w:r>
        <w:t>der Industrie in Gesamt-Kärnten verwendet, die über d</w:t>
      </w:r>
      <w:r w:rsidR="00074205">
        <w:t>ie</w:t>
      </w:r>
      <w:r>
        <w:t xml:space="preserve"> </w:t>
      </w:r>
      <w:r w:rsidR="00074205">
        <w:t>Anzahl der</w:t>
      </w:r>
      <w:r w:rsidR="00C97493">
        <w:t xml:space="preserve"> </w:t>
      </w:r>
      <w:r>
        <w:t>Beschäftigte</w:t>
      </w:r>
      <w:r w:rsidR="00074205">
        <w:t>n</w:t>
      </w:r>
      <w:r>
        <w:t xml:space="preserve"> auf die Zielregion skaliert wurden.</w:t>
      </w:r>
      <w:sdt>
        <w:sdtPr>
          <w:rPr>
            <w:color w:val="000000"/>
          </w:rPr>
          <w:tag w:val="MENDELEY_CITATION_v3_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"/>
          <w:id w:val="-2083286560"/>
          <w:placeholder>
            <w:docPart w:val="DefaultPlaceholder_-1854013440"/>
          </w:placeholder>
        </w:sdtPr>
        <w:sdtEndPr/>
        <w:sdtContent>
          <w:r w:rsidR="00741771" w:rsidRPr="00741771">
            <w:rPr>
              <w:color w:val="000000"/>
            </w:rPr>
            <w:t>[1]</w:t>
          </w:r>
        </w:sdtContent>
      </w:sdt>
      <w:r>
        <w:t xml:space="preserve"> Über die so angenäherten Energieverbräuche im Jahr 2019 wurde mittels Emissionsfaktoren </w:t>
      </w:r>
      <w:r w:rsidR="00074205">
        <w:t xml:space="preserve">für Energieträger </w:t>
      </w:r>
      <w:r>
        <w:t xml:space="preserve">aus gängigen </w:t>
      </w:r>
      <w:r w:rsidR="00074205">
        <w:t>Lebenszyklus-</w:t>
      </w:r>
      <w:r>
        <w:t xml:space="preserve">Datenbanken eine </w:t>
      </w:r>
      <w:r w:rsidR="00074205">
        <w:t xml:space="preserve">Status-Quo </w:t>
      </w:r>
      <w:r>
        <w:t>Klimabilanz der Region erstellt.</w:t>
      </w:r>
      <w:sdt>
        <w:sdtPr>
          <w:rPr>
            <w:color w:val="000000"/>
          </w:rPr>
          <w:tag w:val="MENDELEY_CITATION_v3_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"/>
          <w:id w:val="-1413700696"/>
          <w:placeholder>
            <w:docPart w:val="DefaultPlaceholder_-1854013440"/>
          </w:placeholder>
        </w:sdtPr>
        <w:sdtEndPr/>
        <w:sdtContent>
          <w:r w:rsidR="00741771" w:rsidRPr="00741771">
            <w:rPr>
              <w:color w:val="000000"/>
            </w:rPr>
            <w:t>[2]</w:t>
          </w:r>
        </w:sdtContent>
      </w:sdt>
      <w:r>
        <w:t xml:space="preserve"> Um </w:t>
      </w:r>
      <w:r w:rsidR="00074205">
        <w:t xml:space="preserve">auch </w:t>
      </w:r>
      <w:r>
        <w:t xml:space="preserve">die nicht-energiebedingten Emissionen </w:t>
      </w:r>
      <w:r w:rsidR="00074205">
        <w:t xml:space="preserve">vorgelagerter Prozesse der Energieträger- wie auch Material-Bereitstellung für die produzierenden Branchen </w:t>
      </w:r>
      <w:r>
        <w:t>abschätzen zu können</w:t>
      </w:r>
      <w:r w:rsidR="00074205">
        <w:t>,</w:t>
      </w:r>
      <w:r>
        <w:t xml:space="preserve"> wurde darüber hinaus eine erweiterte Input-Output-Tabelle angewendet.</w:t>
      </w:r>
      <w:sdt>
        <w:sdtPr>
          <w:rPr>
            <w:color w:val="000000"/>
          </w:rPr>
          <w:tag w:val="MENDELEY_CITATION_v3_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"/>
          <w:id w:val="1716308654"/>
          <w:placeholder>
            <w:docPart w:val="DefaultPlaceholder_-1854013440"/>
          </w:placeholder>
        </w:sdtPr>
        <w:sdtEndPr/>
        <w:sdtContent>
          <w:r w:rsidR="00741771" w:rsidRPr="00741771">
            <w:rPr>
              <w:color w:val="000000"/>
            </w:rPr>
            <w:t>[3]</w:t>
          </w:r>
        </w:sdtContent>
      </w:sdt>
      <w:r>
        <w:t xml:space="preserve"> </w:t>
      </w:r>
    </w:p>
    <w:p w14:paraId="037D2B2B" w14:textId="0167762B" w:rsidR="00E954A2" w:rsidRDefault="00632419" w:rsidP="00E954A2">
      <w:r>
        <w:t>Auf Basis dieser Status-quo-Analyse wurde ein dynamisches LCA-Modell erstellt, das es erlaubt</w:t>
      </w:r>
      <w:r w:rsidR="00074205">
        <w:t>,</w:t>
      </w:r>
      <w:r>
        <w:t xml:space="preserve"> verschiedene Technologieentwicklungen und Veränderungen </w:t>
      </w:r>
      <w:r w:rsidR="0094155A">
        <w:t>der (wirtschaftlichen) Rahmenbedingungen</w:t>
      </w:r>
      <w:r>
        <w:t xml:space="preserve"> und deren Auswirkungen auf die </w:t>
      </w:r>
      <w:r w:rsidR="0094155A">
        <w:t>zu</w:t>
      </w:r>
      <w:r>
        <w:t xml:space="preserve">künftigen </w:t>
      </w:r>
      <w:r w:rsidR="00074205">
        <w:t>Treibhausgas- (</w:t>
      </w:r>
      <w:r>
        <w:t>THG-</w:t>
      </w:r>
      <w:r w:rsidR="00074205">
        <w:t xml:space="preserve">) </w:t>
      </w:r>
      <w:r>
        <w:t xml:space="preserve">Emissionen abzuschätzen. </w:t>
      </w:r>
      <w:r w:rsidR="00E954A2">
        <w:t xml:space="preserve">Als besonders wichtig sind drei </w:t>
      </w:r>
      <w:r w:rsidR="00074205">
        <w:t>Einflüsse</w:t>
      </w:r>
      <w:r w:rsidR="00E954A2">
        <w:t xml:space="preserve"> zu nennen:</w:t>
      </w:r>
    </w:p>
    <w:p w14:paraId="1CAB02C0" w14:textId="3B6DC6B5" w:rsidR="00E954A2" w:rsidRDefault="00E954A2" w:rsidP="00DD760E">
      <w:pPr>
        <w:ind w:left="705"/>
      </w:pPr>
      <w:r>
        <w:t>-</w:t>
      </w:r>
      <w:r w:rsidR="00074205">
        <w:t xml:space="preserve">Reduktion </w:t>
      </w:r>
      <w:r>
        <w:t>des Nutzenergiebedarfs</w:t>
      </w:r>
      <w:r w:rsidR="00653383">
        <w:t xml:space="preserve"> für die einzelnen Nutzenergiearten, z</w:t>
      </w:r>
      <w:r w:rsidR="00EA5F3E">
        <w:t>.</w:t>
      </w:r>
      <w:r w:rsidR="00653383">
        <w:t>B. Raumwärme, mechanische Arbeit</w:t>
      </w:r>
      <w:r w:rsidR="00EA5F3E">
        <w:t>, Prozesswärme</w:t>
      </w:r>
    </w:p>
    <w:p w14:paraId="3A9037C1" w14:textId="4621D085" w:rsidR="00E954A2" w:rsidRDefault="00E954A2" w:rsidP="00E954A2">
      <w:r>
        <w:tab/>
        <w:t>-Steigerung der Umwandlungseffizienz</w:t>
      </w:r>
      <w:r w:rsidR="00653383">
        <w:t xml:space="preserve"> von Nutz- über End- zu Primärenergie </w:t>
      </w:r>
    </w:p>
    <w:p w14:paraId="78330E0F" w14:textId="08860234" w:rsidR="00E954A2" w:rsidRDefault="00E954A2" w:rsidP="00E954A2">
      <w:r>
        <w:tab/>
        <w:t>-</w:t>
      </w:r>
      <w:r w:rsidR="00653383">
        <w:t>Einsatz</w:t>
      </w:r>
      <w:r>
        <w:t xml:space="preserve"> Erneuerbare Energieträger</w:t>
      </w:r>
    </w:p>
    <w:p w14:paraId="498FD866" w14:textId="7E7F739D" w:rsidR="00C56BBB" w:rsidRDefault="0094155A" w:rsidP="0094155A">
      <w:r>
        <w:t>Über diese Parameter hinaus wurden Annahmen zur</w:t>
      </w:r>
      <w:r w:rsidR="00EA5F3E">
        <w:t xml:space="preserve"> Reduktion der THG-Emissionen d</w:t>
      </w:r>
      <w:r>
        <w:t xml:space="preserve">er Vorketten der Energieträger und der Rohmaterialien getroffen, die aus </w:t>
      </w:r>
      <w:r w:rsidR="00653383">
        <w:t xml:space="preserve">einschlägigen Literaturquellen </w:t>
      </w:r>
      <w:r>
        <w:t xml:space="preserve">entnommen </w:t>
      </w:r>
      <w:r w:rsidR="00EA5F3E">
        <w:t xml:space="preserve">wurden. </w:t>
      </w:r>
      <w:r w:rsidR="00E954A2">
        <w:t xml:space="preserve">In verschiedenen Szenarien </w:t>
      </w:r>
      <w:r w:rsidR="00EA5F3E">
        <w:t xml:space="preserve">(siehe Tabelle 1) </w:t>
      </w:r>
      <w:r w:rsidR="00E954A2">
        <w:t>wurde untersucht, welche Kombinatione</w:t>
      </w:r>
      <w:r w:rsidR="00074205">
        <w:t xml:space="preserve">n, Größen und zeitlichen Verläufe </w:t>
      </w:r>
      <w:r w:rsidR="00A45781">
        <w:t>der</w:t>
      </w:r>
      <w:r w:rsidR="00074205">
        <w:t xml:space="preserve"> P</w:t>
      </w:r>
      <w:r w:rsidR="00A45781">
        <w:t>arameter</w:t>
      </w:r>
      <w:r w:rsidR="00074205">
        <w:t xml:space="preserve"> </w:t>
      </w:r>
      <w:r w:rsidR="00E954A2">
        <w:t xml:space="preserve">die Erreichung der Klimaziele </w:t>
      </w:r>
      <w:r w:rsidR="00074205">
        <w:t xml:space="preserve">ermöglichen </w:t>
      </w:r>
      <w:r w:rsidR="00E954A2">
        <w:t>und welche Rol</w:t>
      </w:r>
      <w:r w:rsidR="00EA5F3E">
        <w:t xml:space="preserve">le dabei </w:t>
      </w:r>
      <w:r w:rsidR="00074205">
        <w:t xml:space="preserve">insbesondere </w:t>
      </w:r>
      <w:r w:rsidR="00EA5F3E">
        <w:t>der Effizienz</w:t>
      </w:r>
      <w:r w:rsidR="00074205">
        <w:t>stei</w:t>
      </w:r>
      <w:r w:rsidR="00A45781">
        <w:t>gerung</w:t>
      </w:r>
      <w:r w:rsidR="00EA5F3E">
        <w:t xml:space="preserve"> zukommt.</w:t>
      </w:r>
    </w:p>
    <w:p w14:paraId="05DF1D7C" w14:textId="76B4EBD7" w:rsidR="00C56BBB" w:rsidRPr="00C56BBB" w:rsidRDefault="00C56BBB" w:rsidP="00C56BBB">
      <w:pPr>
        <w:pStyle w:val="Beschriftung"/>
        <w:keepNext/>
        <w:rPr>
          <w:color w:val="000000" w:themeColor="text1"/>
        </w:rPr>
      </w:pPr>
      <w:r w:rsidRPr="00C56BBB">
        <w:rPr>
          <w:color w:val="000000" w:themeColor="text1"/>
        </w:rPr>
        <w:t xml:space="preserve">Tabelle </w:t>
      </w:r>
      <w:r w:rsidRPr="00C56BBB">
        <w:rPr>
          <w:color w:val="000000" w:themeColor="text1"/>
        </w:rPr>
        <w:fldChar w:fldCharType="begin"/>
      </w:r>
      <w:r w:rsidRPr="00C56BBB">
        <w:rPr>
          <w:color w:val="000000" w:themeColor="text1"/>
        </w:rPr>
        <w:instrText xml:space="preserve"> SEQ Tabelle \* ARABIC </w:instrText>
      </w:r>
      <w:r w:rsidRPr="00C56BBB">
        <w:rPr>
          <w:color w:val="000000" w:themeColor="text1"/>
        </w:rPr>
        <w:fldChar w:fldCharType="separate"/>
      </w:r>
      <w:r w:rsidRPr="00C56BBB">
        <w:rPr>
          <w:noProof/>
          <w:color w:val="000000" w:themeColor="text1"/>
        </w:rPr>
        <w:t>1</w:t>
      </w:r>
      <w:r w:rsidRPr="00C56BBB">
        <w:rPr>
          <w:color w:val="000000" w:themeColor="text1"/>
        </w:rPr>
        <w:fldChar w:fldCharType="end"/>
      </w:r>
      <w:r w:rsidRPr="00C56BBB">
        <w:rPr>
          <w:color w:val="000000" w:themeColor="text1"/>
        </w:rPr>
        <w:t>: Eckdaten der drei Szenarien.</w:t>
      </w:r>
    </w:p>
    <w:tbl>
      <w:tblPr>
        <w:tblStyle w:val="Tabellenraster"/>
        <w:tblW w:w="0" w:type="auto"/>
        <w:tblLook w:val="04A0" w:firstRow="1" w:lastRow="0" w:firstColumn="1" w:lastColumn="0" w:noHBand="0" w:noVBand="1"/>
      </w:tblPr>
      <w:tblGrid>
        <w:gridCol w:w="2265"/>
        <w:gridCol w:w="2265"/>
        <w:gridCol w:w="2266"/>
        <w:gridCol w:w="2266"/>
      </w:tblGrid>
      <w:tr w:rsidR="00A17769" w14:paraId="7ED8F67C" w14:textId="77777777" w:rsidTr="00A17769">
        <w:tc>
          <w:tcPr>
            <w:tcW w:w="2265" w:type="dxa"/>
          </w:tcPr>
          <w:p w14:paraId="6A65B120" w14:textId="6D89B8AB" w:rsidR="00A17769" w:rsidRPr="00A17769" w:rsidRDefault="00A17769" w:rsidP="00A17769">
            <w:pPr>
              <w:jc w:val="left"/>
              <w:rPr>
                <w:b/>
              </w:rPr>
            </w:pPr>
            <w:r w:rsidRPr="00A17769">
              <w:rPr>
                <w:b/>
              </w:rPr>
              <w:t>Parameter</w:t>
            </w:r>
          </w:p>
        </w:tc>
        <w:tc>
          <w:tcPr>
            <w:tcW w:w="2265" w:type="dxa"/>
          </w:tcPr>
          <w:p w14:paraId="5A490C8A" w14:textId="146AF416" w:rsidR="00A17769" w:rsidRPr="00A17769" w:rsidRDefault="00A45781" w:rsidP="00A17769">
            <w:pPr>
              <w:jc w:val="center"/>
              <w:rPr>
                <w:b/>
              </w:rPr>
            </w:pPr>
            <w:r>
              <w:rPr>
                <w:b/>
              </w:rPr>
              <w:t>„</w:t>
            </w:r>
            <w:r w:rsidR="00A17769" w:rsidRPr="00A17769">
              <w:rPr>
                <w:b/>
              </w:rPr>
              <w:t>Effizienz</w:t>
            </w:r>
            <w:r>
              <w:rPr>
                <w:b/>
              </w:rPr>
              <w:t>“</w:t>
            </w:r>
          </w:p>
        </w:tc>
        <w:tc>
          <w:tcPr>
            <w:tcW w:w="2266" w:type="dxa"/>
          </w:tcPr>
          <w:p w14:paraId="3F72E3E6" w14:textId="203EF9B1" w:rsidR="00A17769" w:rsidRPr="00A17769" w:rsidRDefault="00A45781" w:rsidP="00A17769">
            <w:pPr>
              <w:jc w:val="center"/>
              <w:rPr>
                <w:b/>
              </w:rPr>
            </w:pPr>
            <w:r>
              <w:rPr>
                <w:b/>
              </w:rPr>
              <w:t>„</w:t>
            </w:r>
            <w:r w:rsidR="00A17769" w:rsidRPr="00A17769">
              <w:rPr>
                <w:b/>
              </w:rPr>
              <w:t>Erneuerbare</w:t>
            </w:r>
            <w:r>
              <w:rPr>
                <w:b/>
              </w:rPr>
              <w:t>“</w:t>
            </w:r>
          </w:p>
        </w:tc>
        <w:tc>
          <w:tcPr>
            <w:tcW w:w="2266" w:type="dxa"/>
          </w:tcPr>
          <w:p w14:paraId="359DB942" w14:textId="41867835" w:rsidR="00A17769" w:rsidRPr="00A17769" w:rsidRDefault="00A45781" w:rsidP="00A17769">
            <w:pPr>
              <w:jc w:val="center"/>
              <w:rPr>
                <w:b/>
              </w:rPr>
            </w:pPr>
            <w:r>
              <w:rPr>
                <w:b/>
              </w:rPr>
              <w:t>„</w:t>
            </w:r>
            <w:r w:rsidR="00A17769" w:rsidRPr="00A17769">
              <w:rPr>
                <w:b/>
              </w:rPr>
              <w:t>Transformation</w:t>
            </w:r>
            <w:r>
              <w:rPr>
                <w:b/>
              </w:rPr>
              <w:t>“</w:t>
            </w:r>
          </w:p>
        </w:tc>
      </w:tr>
      <w:tr w:rsidR="00A17769" w14:paraId="18791ADB" w14:textId="77777777" w:rsidTr="00A17769">
        <w:tc>
          <w:tcPr>
            <w:tcW w:w="2265" w:type="dxa"/>
          </w:tcPr>
          <w:p w14:paraId="6474E742" w14:textId="424C7FD8" w:rsidR="00A17769" w:rsidRDefault="00A17769" w:rsidP="00A17769">
            <w:pPr>
              <w:jc w:val="left"/>
            </w:pPr>
            <w:r>
              <w:t>Wirkungsgrad H2-Elektrolyse</w:t>
            </w:r>
          </w:p>
        </w:tc>
        <w:tc>
          <w:tcPr>
            <w:tcW w:w="2265" w:type="dxa"/>
          </w:tcPr>
          <w:p w14:paraId="73D8C4B0" w14:textId="3D44979D" w:rsidR="00A17769" w:rsidRDefault="00A17769" w:rsidP="0094155A">
            <w:r>
              <w:t>hoher Wirkungsgrad</w:t>
            </w:r>
          </w:p>
        </w:tc>
        <w:tc>
          <w:tcPr>
            <w:tcW w:w="2266" w:type="dxa"/>
          </w:tcPr>
          <w:p w14:paraId="5DFE7B7D" w14:textId="22DBF0FA" w:rsidR="00A17769" w:rsidRDefault="00A17769" w:rsidP="0094155A">
            <w:r>
              <w:t>hoher Wirkungsgrad</w:t>
            </w:r>
          </w:p>
        </w:tc>
        <w:tc>
          <w:tcPr>
            <w:tcW w:w="2266" w:type="dxa"/>
          </w:tcPr>
          <w:p w14:paraId="06D44574" w14:textId="2B59CFAD" w:rsidR="00A17769" w:rsidRDefault="00A17769" w:rsidP="0094155A">
            <w:r>
              <w:t>mäßiger Wirkungsgrad</w:t>
            </w:r>
          </w:p>
        </w:tc>
      </w:tr>
      <w:tr w:rsidR="00A17769" w14:paraId="748DB4F7" w14:textId="77777777" w:rsidTr="00A17769">
        <w:tc>
          <w:tcPr>
            <w:tcW w:w="2265" w:type="dxa"/>
          </w:tcPr>
          <w:p w14:paraId="7908015F" w14:textId="0881F338" w:rsidR="00A17769" w:rsidRDefault="00A17769" w:rsidP="00A17769">
            <w:pPr>
              <w:jc w:val="left"/>
            </w:pPr>
            <w:r>
              <w:t>Einsatz Erneuerbarer</w:t>
            </w:r>
          </w:p>
        </w:tc>
        <w:tc>
          <w:tcPr>
            <w:tcW w:w="2265" w:type="dxa"/>
          </w:tcPr>
          <w:p w14:paraId="43299418" w14:textId="7DA140F6" w:rsidR="00A17769" w:rsidRDefault="00A17769" w:rsidP="0094155A">
            <w:r>
              <w:t>langsamere Umsetzung</w:t>
            </w:r>
          </w:p>
        </w:tc>
        <w:tc>
          <w:tcPr>
            <w:tcW w:w="2266" w:type="dxa"/>
          </w:tcPr>
          <w:p w14:paraId="2D233CDA" w14:textId="20095C39" w:rsidR="00A17769" w:rsidRDefault="00A17769" w:rsidP="0094155A">
            <w:r>
              <w:t>schnellere Umsetzung</w:t>
            </w:r>
          </w:p>
        </w:tc>
        <w:tc>
          <w:tcPr>
            <w:tcW w:w="2266" w:type="dxa"/>
          </w:tcPr>
          <w:p w14:paraId="3BE252C2" w14:textId="2E10B808" w:rsidR="00A17769" w:rsidRDefault="00A17769" w:rsidP="00A17769">
            <w:r>
              <w:t>mittelschnelle Umsetzung</w:t>
            </w:r>
          </w:p>
        </w:tc>
      </w:tr>
      <w:tr w:rsidR="00A17769" w14:paraId="2994EF92" w14:textId="77777777" w:rsidTr="00A17769">
        <w:tc>
          <w:tcPr>
            <w:tcW w:w="2265" w:type="dxa"/>
          </w:tcPr>
          <w:p w14:paraId="7B64556C" w14:textId="7D4ECBFD" w:rsidR="00A17769" w:rsidRDefault="00A17769" w:rsidP="00A17769">
            <w:pPr>
              <w:jc w:val="left"/>
            </w:pPr>
            <w:r>
              <w:t>Reduktion Nutzenergieverbrauch</w:t>
            </w:r>
          </w:p>
        </w:tc>
        <w:tc>
          <w:tcPr>
            <w:tcW w:w="2265" w:type="dxa"/>
          </w:tcPr>
          <w:p w14:paraId="532E0D70" w14:textId="5F2C2474" w:rsidR="00A17769" w:rsidRDefault="00A17769" w:rsidP="0094155A">
            <w:r>
              <w:t>starke Reduktion</w:t>
            </w:r>
          </w:p>
        </w:tc>
        <w:tc>
          <w:tcPr>
            <w:tcW w:w="2266" w:type="dxa"/>
          </w:tcPr>
          <w:p w14:paraId="28C66F9C" w14:textId="1816BD95" w:rsidR="00A17769" w:rsidRDefault="00A17769" w:rsidP="0094155A">
            <w:r>
              <w:t>schwache Reduktion</w:t>
            </w:r>
          </w:p>
        </w:tc>
        <w:tc>
          <w:tcPr>
            <w:tcW w:w="2266" w:type="dxa"/>
          </w:tcPr>
          <w:p w14:paraId="5FB4790E" w14:textId="17C68373" w:rsidR="00A17769" w:rsidRDefault="00A17769" w:rsidP="0094155A">
            <w:r>
              <w:t>mittlere Reduktion</w:t>
            </w:r>
          </w:p>
        </w:tc>
      </w:tr>
    </w:tbl>
    <w:p w14:paraId="14B95358" w14:textId="608C9015" w:rsidR="005E4D4F" w:rsidRDefault="005E4D4F" w:rsidP="005E4D4F">
      <w:pPr>
        <w:pStyle w:val="Ueberschrift"/>
      </w:pPr>
      <w:r w:rsidRPr="005E4D4F">
        <w:lastRenderedPageBreak/>
        <w:t>Ergebnisse und Schlussfolgerungen</w:t>
      </w:r>
    </w:p>
    <w:p w14:paraId="529DBA42" w14:textId="77777777" w:rsidR="0041566B" w:rsidRDefault="0094155A" w:rsidP="0041566B">
      <w:pPr>
        <w:rPr>
          <w:rFonts w:cs="Arial"/>
        </w:rPr>
      </w:pPr>
      <w:r w:rsidRPr="00DD5D3C">
        <w:rPr>
          <w:rFonts w:cs="Arial"/>
        </w:rPr>
        <w:t xml:space="preserve">Das Modell zeigt, dass </w:t>
      </w:r>
      <w:r w:rsidR="00653383">
        <w:rPr>
          <w:rFonts w:cs="Arial"/>
        </w:rPr>
        <w:t xml:space="preserve">der Reduktion des Nutzenergiebedarfes </w:t>
      </w:r>
      <w:r w:rsidR="00A45781">
        <w:rPr>
          <w:rFonts w:cs="Arial"/>
        </w:rPr>
        <w:t xml:space="preserve">(z.B. durch Wärmedämmung von Gebäuden oder Industrieöfen), aber auch </w:t>
      </w:r>
      <w:r w:rsidR="00DD760E">
        <w:rPr>
          <w:rFonts w:cs="Arial"/>
        </w:rPr>
        <w:t>durch</w:t>
      </w:r>
      <w:bookmarkStart w:id="0" w:name="_GoBack"/>
      <w:bookmarkEnd w:id="0"/>
      <w:r w:rsidR="00A45781">
        <w:rPr>
          <w:rFonts w:cs="Arial"/>
        </w:rPr>
        <w:t xml:space="preserve"> Steigerung der Umwandlungseffizienz </w:t>
      </w:r>
      <w:r w:rsidR="00A45781" w:rsidRPr="00DD5D3C">
        <w:rPr>
          <w:rFonts w:cs="Arial"/>
        </w:rPr>
        <w:t>(insbesondere in der Prozesswärme)</w:t>
      </w:r>
      <w:r w:rsidR="00A45781">
        <w:rPr>
          <w:rFonts w:cs="Arial"/>
        </w:rPr>
        <w:t xml:space="preserve"> </w:t>
      </w:r>
      <w:r w:rsidR="00653383" w:rsidRPr="00DD5D3C">
        <w:rPr>
          <w:rFonts w:cs="Arial"/>
        </w:rPr>
        <w:t>eine zentrale Rolle bei der Erreichung der Klimaziele zukommt</w:t>
      </w:r>
      <w:r w:rsidR="00A45781">
        <w:rPr>
          <w:rFonts w:cs="Arial"/>
        </w:rPr>
        <w:t>.</w:t>
      </w:r>
      <w:r w:rsidR="00053053">
        <w:rPr>
          <w:rFonts w:cs="Arial"/>
        </w:rPr>
        <w:t xml:space="preserve"> Abbildung 1 zeigt, dass im Szenario Effizienz über 30 % der Nutzenergie eingespart werden könnten. </w:t>
      </w:r>
      <w:r w:rsidR="00A45781" w:rsidRPr="00DD5D3C">
        <w:rPr>
          <w:rFonts w:cs="Arial"/>
        </w:rPr>
        <w:t>Im Jahr 2019</w:t>
      </w:r>
      <w:r w:rsidR="00A45781">
        <w:rPr>
          <w:rFonts w:cs="Arial"/>
        </w:rPr>
        <w:t xml:space="preserve"> betrugen die energetischen Verluste von der </w:t>
      </w:r>
      <w:r w:rsidR="00A45781" w:rsidRPr="00DD5D3C">
        <w:rPr>
          <w:rFonts w:cs="Arial"/>
        </w:rPr>
        <w:t>Primär</w:t>
      </w:r>
      <w:r w:rsidR="00A45781">
        <w:rPr>
          <w:rFonts w:cs="Arial"/>
        </w:rPr>
        <w:t>-</w:t>
      </w:r>
      <w:r w:rsidR="00A45781" w:rsidRPr="00DD5D3C">
        <w:rPr>
          <w:rFonts w:cs="Arial"/>
        </w:rPr>
        <w:t xml:space="preserve"> zu</w:t>
      </w:r>
      <w:r w:rsidR="00A45781">
        <w:rPr>
          <w:rFonts w:cs="Arial"/>
        </w:rPr>
        <w:t>r</w:t>
      </w:r>
      <w:r w:rsidR="00A45781" w:rsidRPr="00DD5D3C">
        <w:rPr>
          <w:rFonts w:cs="Arial"/>
        </w:rPr>
        <w:t xml:space="preserve"> Nutzenergie </w:t>
      </w:r>
      <w:r w:rsidR="00053053">
        <w:rPr>
          <w:rFonts w:cs="Arial"/>
        </w:rPr>
        <w:t xml:space="preserve">ebenfalls </w:t>
      </w:r>
      <w:r w:rsidR="00A45781" w:rsidRPr="00DD5D3C">
        <w:rPr>
          <w:rFonts w:cs="Arial"/>
        </w:rPr>
        <w:t xml:space="preserve">mehr als 30%. Diese Verluste gilt es zu verringern und in Form von z.B. Abwärme zu nutzen. </w:t>
      </w:r>
      <w:r w:rsidR="00A45781">
        <w:rPr>
          <w:rFonts w:cs="Arial"/>
        </w:rPr>
        <w:t xml:space="preserve">Möglicherweise </w:t>
      </w:r>
      <w:r w:rsidR="00A45781" w:rsidRPr="00DD5D3C">
        <w:rPr>
          <w:rFonts w:cs="Arial"/>
        </w:rPr>
        <w:t xml:space="preserve">kam der Reduktion des Nutzenergiebedarfs </w:t>
      </w:r>
      <w:r w:rsidR="00A45781">
        <w:rPr>
          <w:rFonts w:cs="Arial"/>
        </w:rPr>
        <w:t xml:space="preserve">bisher </w:t>
      </w:r>
      <w:r w:rsidR="00A45781" w:rsidRPr="00DD5D3C">
        <w:rPr>
          <w:rFonts w:cs="Arial"/>
        </w:rPr>
        <w:t>zu geringe Beachtung zu. Durch Prozess- und Produktinnovation könnten in Zukunft deutlich höhere Energieeinsparungen erreicht werden als in bisherigen Modellen angenommen</w:t>
      </w:r>
      <w:r w:rsidR="00A45781">
        <w:rPr>
          <w:rFonts w:cs="Arial"/>
        </w:rPr>
        <w:t xml:space="preserve"> (wie  z.B. in </w:t>
      </w:r>
      <w:sdt>
        <w:sdtPr>
          <w:rPr>
            <w:rFonts w:cs="Arial"/>
            <w:color w:val="000000"/>
          </w:rPr>
          <w:tag w:val="MENDELEY_CITATION_v3_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"/>
          <w:id w:val="-1517528288"/>
          <w:placeholder>
            <w:docPart w:val="9D1130AB19C74B2C8FDF320A8F4EFCCB"/>
          </w:placeholder>
        </w:sdtPr>
        <w:sdtEndPr/>
        <w:sdtContent>
          <w:r w:rsidR="00A45781" w:rsidRPr="00741771">
            <w:rPr>
              <w:rFonts w:cs="Arial"/>
              <w:color w:val="000000"/>
            </w:rPr>
            <w:t>[4], [5]</w:t>
          </w:r>
        </w:sdtContent>
      </w:sdt>
      <w:r w:rsidR="00A45781">
        <w:rPr>
          <w:rFonts w:cs="Arial"/>
          <w:color w:val="000000"/>
        </w:rPr>
        <w:t>)</w:t>
      </w:r>
      <w:r w:rsidR="00A45781" w:rsidRPr="00DD5D3C">
        <w:rPr>
          <w:rFonts w:cs="Arial"/>
        </w:rPr>
        <w:t>. Als mögliche Maßnahmen seien hier beispielhaft genannt: Wärmedämmung von Produktionsstätten, bedarfsgerechte Beleuchtung und Druckluft, neue Prozesse mit geringerer Prozesstemperatur, Entwurf von Produkten, die mit weniger Energieeinsatz den gleichen Nutzen bringen (z.B. Holz statt Beton im Bausektor).</w:t>
      </w:r>
      <w:r w:rsidR="00A45781">
        <w:rPr>
          <w:rFonts w:cs="Arial"/>
        </w:rPr>
        <w:t xml:space="preserve"> Das Modell legt </w:t>
      </w:r>
      <w:r w:rsidR="00A45781" w:rsidRPr="00DD5D3C">
        <w:rPr>
          <w:rFonts w:cs="Arial"/>
        </w:rPr>
        <w:t>am Beispiel Unterkärnten</w:t>
      </w:r>
      <w:r w:rsidR="00A45781" w:rsidRPr="00A45781">
        <w:rPr>
          <w:rFonts w:cs="Arial"/>
        </w:rPr>
        <w:t xml:space="preserve"> </w:t>
      </w:r>
      <w:r w:rsidR="00BA77EB">
        <w:rPr>
          <w:rFonts w:cs="Arial"/>
        </w:rPr>
        <w:t xml:space="preserve">im Szenario „Effizienz“ </w:t>
      </w:r>
      <w:r w:rsidR="00A45781">
        <w:rPr>
          <w:rFonts w:cs="Arial"/>
        </w:rPr>
        <w:t>nahe,</w:t>
      </w:r>
      <w:r w:rsidR="00A45781" w:rsidRPr="00DD5D3C">
        <w:rPr>
          <w:rFonts w:cs="Arial"/>
        </w:rPr>
        <w:t xml:space="preserve"> dass ein w</w:t>
      </w:r>
      <w:r w:rsidR="00A45781">
        <w:rPr>
          <w:rFonts w:cs="Arial"/>
        </w:rPr>
        <w:t xml:space="preserve">eitreichender Ausbau </w:t>
      </w:r>
      <w:r w:rsidR="00BA77EB">
        <w:rPr>
          <w:rFonts w:cs="Arial"/>
        </w:rPr>
        <w:t>zusätzlicher</w:t>
      </w:r>
      <w:r w:rsidR="00BA77EB" w:rsidRPr="00DD5D3C">
        <w:rPr>
          <w:rFonts w:cs="Arial"/>
        </w:rPr>
        <w:t xml:space="preserve"> erneuerbare</w:t>
      </w:r>
      <w:r w:rsidR="00BA77EB">
        <w:rPr>
          <w:rFonts w:cs="Arial"/>
        </w:rPr>
        <w:t>r</w:t>
      </w:r>
      <w:r w:rsidR="00BA77EB" w:rsidRPr="00DD5D3C">
        <w:rPr>
          <w:rFonts w:cs="Arial"/>
        </w:rPr>
        <w:t xml:space="preserve"> Energie</w:t>
      </w:r>
      <w:r w:rsidR="00BA77EB">
        <w:rPr>
          <w:rFonts w:cs="Arial"/>
        </w:rPr>
        <w:t xml:space="preserve"> (siehe Tabelle 2 und Primärenergie) </w:t>
      </w:r>
      <w:r w:rsidR="00A45781">
        <w:rPr>
          <w:rFonts w:cs="Arial"/>
        </w:rPr>
        <w:t>zum Zweck der</w:t>
      </w:r>
      <w:r w:rsidR="00A45781" w:rsidRPr="00DD5D3C">
        <w:rPr>
          <w:rFonts w:cs="Arial"/>
        </w:rPr>
        <w:t xml:space="preserve"> </w:t>
      </w:r>
      <w:proofErr w:type="spellStart"/>
      <w:r w:rsidR="00A45781" w:rsidRPr="00DD5D3C">
        <w:rPr>
          <w:rFonts w:cs="Arial"/>
        </w:rPr>
        <w:t>Dekarbonisierung</w:t>
      </w:r>
      <w:proofErr w:type="spellEnd"/>
      <w:r w:rsidR="00A45781" w:rsidRPr="00DD5D3C">
        <w:rPr>
          <w:rFonts w:cs="Arial"/>
        </w:rPr>
        <w:t xml:space="preserve"> der Industrie vermieden werden kann</w:t>
      </w:r>
      <w:r w:rsidR="00BA77EB">
        <w:rPr>
          <w:rFonts w:cs="Arial"/>
        </w:rPr>
        <w:t xml:space="preserve">. Das Modell zeigt aber auch, dass das Wirtschaftswachstum ein wesentlicher Modellparameter ist. </w:t>
      </w:r>
      <w:r w:rsidRPr="00DD5D3C">
        <w:rPr>
          <w:rFonts w:cs="Arial"/>
        </w:rPr>
        <w:t>Wird ein Wirtschaftswachstum von 1,5% p.a. und ein um denselben Faktor erhöhte</w:t>
      </w:r>
      <w:r w:rsidR="00A54390" w:rsidRPr="00DD5D3C">
        <w:rPr>
          <w:rFonts w:cs="Arial"/>
        </w:rPr>
        <w:t>r Material- und Energiebedarf</w:t>
      </w:r>
      <w:r w:rsidRPr="00DD5D3C">
        <w:rPr>
          <w:rFonts w:cs="Arial"/>
        </w:rPr>
        <w:t xml:space="preserve"> angenommen, so </w:t>
      </w:r>
      <w:r w:rsidR="000D349C">
        <w:rPr>
          <w:rFonts w:cs="Arial"/>
        </w:rPr>
        <w:t xml:space="preserve">würde sich der Primärenergiebedarf der Unterkärntner Industrie von 2019 bis 2050 um rund die Hälfte erhöhen. </w:t>
      </w:r>
      <w:r w:rsidR="00C56BBB">
        <w:rPr>
          <w:noProof/>
          <w:lang w:val="de-AT" w:eastAsia="de-AT"/>
        </w:rPr>
        <mc:AlternateContent>
          <mc:Choice Requires="wps">
            <w:drawing>
              <wp:anchor distT="0" distB="0" distL="114300" distR="114300" simplePos="0" relativeHeight="251664384" behindDoc="0" locked="0" layoutInCell="1" allowOverlap="1" wp14:anchorId="0639A74D" wp14:editId="6997CC92">
                <wp:simplePos x="0" y="0"/>
                <wp:positionH relativeFrom="margin">
                  <wp:posOffset>1834515</wp:posOffset>
                </wp:positionH>
                <wp:positionV relativeFrom="paragraph">
                  <wp:posOffset>0</wp:posOffset>
                </wp:positionV>
                <wp:extent cx="3907155" cy="27559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907155" cy="275590"/>
                        </a:xfrm>
                        <a:prstGeom prst="rect">
                          <a:avLst/>
                        </a:prstGeom>
                        <a:solidFill>
                          <a:prstClr val="white"/>
                        </a:solidFill>
                        <a:ln>
                          <a:noFill/>
                        </a:ln>
                      </wps:spPr>
                      <wps:txbx>
                        <w:txbxContent>
                          <w:p w14:paraId="5437EFAA" w14:textId="6C99D6C8" w:rsidR="00C56BBB" w:rsidRPr="00C56BBB" w:rsidRDefault="00C56BBB" w:rsidP="00C56BBB">
                            <w:pPr>
                              <w:pStyle w:val="Beschriftung"/>
                              <w:rPr>
                                <w:rFonts w:cs="Arial"/>
                                <w:color w:val="000000" w:themeColor="text1"/>
                                <w:sz w:val="20"/>
                                <w:szCs w:val="24"/>
                              </w:rPr>
                            </w:pPr>
                            <w:r w:rsidRPr="00C56BBB">
                              <w:rPr>
                                <w:color w:val="000000" w:themeColor="text1"/>
                              </w:rPr>
                              <w:t>Tabelle 2: Energiebedarf der ausgewählten Unterkärntner Industriebranchen in den Szenarien.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9A74D" id="_x0000_t202" coordsize="21600,21600" o:spt="202" path="m,l,21600r21600,l21600,xe">
                <v:stroke joinstyle="miter"/>
                <v:path gradientshapeok="t" o:connecttype="rect"/>
              </v:shapetype>
              <v:shape id="Textfeld 1" o:spid="_x0000_s1026" type="#_x0000_t202" style="position:absolute;left:0;text-align:left;margin-left:144.45pt;margin-top:0;width:307.6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" stroked="f">
                <v:textbox inset="0,0,0,0">
                  <w:txbxContent>
                    <w:p w14:paraId="5437EFAA" w14:textId="6C99D6C8" w:rsidR="00C56BBB" w:rsidRPr="00C56BBB" w:rsidRDefault="00C56BBB" w:rsidP="00C56BBB">
                      <w:pPr>
                        <w:pStyle w:val="Beschriftung"/>
                        <w:rPr>
                          <w:rFonts w:cs="Arial"/>
                          <w:color w:val="000000" w:themeColor="text1"/>
                          <w:sz w:val="20"/>
                          <w:szCs w:val="24"/>
                        </w:rPr>
                      </w:pPr>
                      <w:r w:rsidRPr="00C56BBB">
                        <w:rPr>
                          <w:color w:val="000000" w:themeColor="text1"/>
                        </w:rPr>
                        <w:t>Tabelle 2: Energiebedarf der ausgewählten Unterkärntner Industriebranchen in den Szenarien.</w:t>
                      </w:r>
                    </w:p>
                  </w:txbxContent>
                </v:textbox>
                <w10:wrap type="square" anchorx="margin"/>
              </v:shape>
            </w:pict>
          </mc:Fallback>
        </mc:AlternateContent>
      </w:r>
      <w:r w:rsidR="00C56BBB" w:rsidRPr="00820DDC">
        <w:rPr>
          <w:noProof/>
          <w:lang w:val="de-AT" w:eastAsia="de-AT"/>
        </w:rPr>
        <w:drawing>
          <wp:anchor distT="0" distB="0" distL="114300" distR="114300" simplePos="0" relativeHeight="251662336" behindDoc="0" locked="0" layoutInCell="1" allowOverlap="1" wp14:anchorId="5374CF88" wp14:editId="04DE53C3">
            <wp:simplePos x="0" y="0"/>
            <wp:positionH relativeFrom="margin">
              <wp:align>right</wp:align>
            </wp:positionH>
            <wp:positionV relativeFrom="paragraph">
              <wp:posOffset>283917</wp:posOffset>
            </wp:positionV>
            <wp:extent cx="3923030" cy="1662430"/>
            <wp:effectExtent l="0" t="0" r="127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303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7EB">
        <w:rPr>
          <w:rFonts w:cs="Arial"/>
        </w:rPr>
        <w:t xml:space="preserve"> </w:t>
      </w:r>
    </w:p>
    <w:p w14:paraId="2F349A8E" w14:textId="476040AB" w:rsidR="00C56BBB" w:rsidRPr="00C56BBB" w:rsidRDefault="00C56BBB" w:rsidP="0041566B">
      <w:pPr>
        <w:jc w:val="center"/>
        <w:rPr>
          <w:color w:val="000000" w:themeColor="text1"/>
        </w:rPr>
      </w:pPr>
      <w:r w:rsidRPr="00C56BBB">
        <w:rPr>
          <w:rFonts w:ascii="Times New Roman" w:hAnsi="Times New Roman"/>
          <w:noProof/>
          <w:color w:val="000000" w:themeColor="text1"/>
          <w:sz w:val="24"/>
          <w:lang w:val="de-AT" w:eastAsia="de-AT"/>
        </w:rPr>
        <w:drawing>
          <wp:inline distT="0" distB="0" distL="0" distR="0" wp14:anchorId="41783A89" wp14:editId="212B565B">
            <wp:extent cx="3588589" cy="4239123"/>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842" cy="4264229"/>
                    </a:xfrm>
                    <a:prstGeom prst="rect">
                      <a:avLst/>
                    </a:prstGeom>
                    <a:noFill/>
                  </pic:spPr>
                </pic:pic>
              </a:graphicData>
            </a:graphic>
          </wp:inline>
        </w:drawing>
      </w:r>
    </w:p>
    <w:p w14:paraId="55853F6F" w14:textId="4677FAEE" w:rsidR="00C56BBB" w:rsidRPr="00053053" w:rsidRDefault="00C56BBB" w:rsidP="00053053">
      <w:pPr>
        <w:pStyle w:val="Beschriftung"/>
        <w:jc w:val="center"/>
        <w:rPr>
          <w:noProof/>
          <w:color w:val="000000" w:themeColor="text1"/>
        </w:rPr>
      </w:pPr>
      <w:r w:rsidRPr="00C56BBB">
        <w:rPr>
          <w:color w:val="000000" w:themeColor="text1"/>
        </w:rPr>
        <w:t xml:space="preserve">Abbildung </w:t>
      </w:r>
      <w:r w:rsidRPr="00C56BBB">
        <w:rPr>
          <w:color w:val="000000" w:themeColor="text1"/>
        </w:rPr>
        <w:fldChar w:fldCharType="begin"/>
      </w:r>
      <w:r w:rsidRPr="00C56BBB">
        <w:rPr>
          <w:color w:val="000000" w:themeColor="text1"/>
        </w:rPr>
        <w:instrText xml:space="preserve"> SEQ Abbildung \* ARABIC </w:instrText>
      </w:r>
      <w:r w:rsidRPr="00C56BBB">
        <w:rPr>
          <w:color w:val="000000" w:themeColor="text1"/>
        </w:rPr>
        <w:fldChar w:fldCharType="separate"/>
      </w:r>
      <w:r w:rsidRPr="00C56BBB">
        <w:rPr>
          <w:noProof/>
          <w:color w:val="000000" w:themeColor="text1"/>
        </w:rPr>
        <w:t>1</w:t>
      </w:r>
      <w:r w:rsidRPr="00C56BBB">
        <w:rPr>
          <w:color w:val="000000" w:themeColor="text1"/>
        </w:rPr>
        <w:fldChar w:fldCharType="end"/>
      </w:r>
      <w:r w:rsidRPr="00C56BBB">
        <w:rPr>
          <w:noProof/>
          <w:color w:val="000000" w:themeColor="text1"/>
        </w:rPr>
        <w:t>: Nutzenergiebedarf ausgewählter Industriebranchen in Unterkärnten 2019, 2030 und 2040.</w:t>
      </w:r>
      <w:r w:rsidR="0041566B">
        <w:rPr>
          <w:noProof/>
          <w:color w:val="000000" w:themeColor="text1"/>
        </w:rPr>
        <w:t xml:space="preserve"> Durch Produkt- und Prozessinnovation könnte der Nutzenergieverbrauch deutlich verringert werden.</w:t>
      </w:r>
      <w:r w:rsidRPr="00C56BBB">
        <w:rPr>
          <w:noProof/>
          <w:color w:val="000000" w:themeColor="text1"/>
        </w:rPr>
        <w:t xml:space="preserve"> Quelle: Statistik Austria und eigene Berechnung.</w:t>
      </w:r>
    </w:p>
    <w:p w14:paraId="6C75A3FD" w14:textId="31456A5B" w:rsidR="00CD6C17" w:rsidRPr="00CD6C17" w:rsidRDefault="00CD6C17" w:rsidP="00CD6C17">
      <w:pPr>
        <w:pStyle w:val="Ueberschrift"/>
      </w:pPr>
      <w:r w:rsidRPr="00CD6C17">
        <w:lastRenderedPageBreak/>
        <w:t>Förderhinweis</w:t>
      </w:r>
    </w:p>
    <w:p w14:paraId="7821242E" w14:textId="7A8124BD" w:rsidR="00CD6C17" w:rsidRPr="00AE4649" w:rsidRDefault="00741771" w:rsidP="00CD6C17">
      <w:pPr>
        <w:rPr>
          <w:lang w:eastAsia="en-US" w:bidi="en-US"/>
        </w:rPr>
      </w:pPr>
      <w:r w:rsidRPr="00AC7549">
        <w:rPr>
          <w:lang w:val="de-AT" w:eastAsia="en-US" w:bidi="en-US"/>
        </w:rPr>
        <w:t xml:space="preserve">Das </w:t>
      </w:r>
      <w:r w:rsidR="00CD6C17" w:rsidRPr="00AC7549">
        <w:rPr>
          <w:lang w:val="de-AT"/>
        </w:rPr>
        <w:t>LOCA2Transformation</w:t>
      </w:r>
      <w:r w:rsidRPr="00AC7549">
        <w:rPr>
          <w:lang w:val="de-AT"/>
        </w:rPr>
        <w:t>-Projekt</w:t>
      </w:r>
      <w:r w:rsidR="00CD6C17" w:rsidRPr="00AC7549">
        <w:rPr>
          <w:lang w:val="de-AT"/>
        </w:rPr>
        <w:t xml:space="preserve"> (</w:t>
      </w:r>
      <w:proofErr w:type="spellStart"/>
      <w:r w:rsidR="00CD6C17" w:rsidRPr="00AC7549">
        <w:rPr>
          <w:lang w:val="de-AT"/>
        </w:rPr>
        <w:t>LOwCArbon</w:t>
      </w:r>
      <w:proofErr w:type="spellEnd"/>
      <w:r w:rsidRPr="00AC7549">
        <w:rPr>
          <w:lang w:val="de-AT"/>
        </w:rPr>
        <w:t xml:space="preserve"> </w:t>
      </w:r>
      <w:proofErr w:type="spellStart"/>
      <w:r w:rsidRPr="00AC7549">
        <w:rPr>
          <w:lang w:val="de-AT"/>
        </w:rPr>
        <w:t>LOwerCArinthia</w:t>
      </w:r>
      <w:proofErr w:type="spellEnd"/>
      <w:r w:rsidRPr="00AC7549">
        <w:rPr>
          <w:lang w:val="de-AT"/>
        </w:rPr>
        <w:t xml:space="preserve"> </w:t>
      </w:r>
      <w:proofErr w:type="spellStart"/>
      <w:r w:rsidRPr="00AC7549">
        <w:rPr>
          <w:lang w:val="de-AT"/>
        </w:rPr>
        <w:t>TRANSformation</w:t>
      </w:r>
      <w:proofErr w:type="spellEnd"/>
      <w:r w:rsidRPr="00AC7549">
        <w:rPr>
          <w:lang w:val="de-AT"/>
        </w:rPr>
        <w:t>)</w:t>
      </w:r>
      <w:r w:rsidR="00371180" w:rsidRPr="00AC7549">
        <w:rPr>
          <w:lang w:val="de-AT"/>
        </w:rPr>
        <w:t xml:space="preserve"> wird aus Mitteln des EFRE Europäischen Fonds für regionale Entwicklung </w:t>
      </w:r>
      <w:r w:rsidR="005A278A">
        <w:rPr>
          <w:lang w:val="de-AT"/>
        </w:rPr>
        <w:t xml:space="preserve">sowie aus </w:t>
      </w:r>
      <w:r w:rsidR="005A278A">
        <w:rPr>
          <w:szCs w:val="20"/>
        </w:rPr>
        <w:t xml:space="preserve">den zusätzlichen Mitteln von REACT-EU </w:t>
      </w:r>
      <w:proofErr w:type="spellStart"/>
      <w:r w:rsidR="00371180" w:rsidRPr="00AC7549">
        <w:rPr>
          <w:lang w:val="de-AT"/>
        </w:rPr>
        <w:t>kofinanziert</w:t>
      </w:r>
      <w:proofErr w:type="spellEnd"/>
      <w:r w:rsidRPr="00AC7549">
        <w:rPr>
          <w:lang w:val="de-AT"/>
        </w:rPr>
        <w:t xml:space="preserve"> </w:t>
      </w:r>
      <w:r>
        <w:t xml:space="preserve">und </w:t>
      </w:r>
      <w:r w:rsidR="00371180">
        <w:t xml:space="preserve">über </w:t>
      </w:r>
      <w:r w:rsidR="00AC7549">
        <w:t>den KWF</w:t>
      </w:r>
      <w:r>
        <w:t xml:space="preserve"> </w:t>
      </w:r>
      <w:r w:rsidR="00371180">
        <w:t>abgewickelt</w:t>
      </w:r>
      <w:r w:rsidR="00CD6C17">
        <w:t xml:space="preserve">. </w:t>
      </w:r>
    </w:p>
    <w:p w14:paraId="2A7601E8" w14:textId="77777777" w:rsidR="00CD6C17" w:rsidRPr="00AE4649" w:rsidRDefault="00CD6C17" w:rsidP="00CD6C17">
      <w:pPr>
        <w:rPr>
          <w:lang w:val="en-US" w:eastAsia="en-US" w:bidi="en-US"/>
        </w:rPr>
      </w:pPr>
      <w:r>
        <w:rPr>
          <w:noProof/>
          <w:lang w:val="de-AT" w:eastAsia="de-AT"/>
        </w:rPr>
        <w:drawing>
          <wp:inline distT="0" distB="0" distL="0" distR="0" wp14:anchorId="0C33EB3D" wp14:editId="3ED4415A">
            <wp:extent cx="2174202" cy="539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1757" cy="551556"/>
                    </a:xfrm>
                    <a:prstGeom prst="rect">
                      <a:avLst/>
                    </a:prstGeom>
                    <a:noFill/>
                    <a:ln>
                      <a:noFill/>
                    </a:ln>
                  </pic:spPr>
                </pic:pic>
              </a:graphicData>
            </a:graphic>
          </wp:inline>
        </w:drawing>
      </w:r>
      <w:r>
        <w:rPr>
          <w:noProof/>
          <w:lang w:val="de-AT" w:eastAsia="de-AT"/>
        </w:rPr>
        <w:drawing>
          <wp:inline distT="0" distB="0" distL="0" distR="0" wp14:anchorId="6FDBEA64" wp14:editId="62BBF038">
            <wp:extent cx="2266950" cy="471102"/>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9768" cy="521563"/>
                    </a:xfrm>
                    <a:prstGeom prst="rect">
                      <a:avLst/>
                    </a:prstGeom>
                    <a:noFill/>
                    <a:ln>
                      <a:noFill/>
                    </a:ln>
                  </pic:spPr>
                </pic:pic>
              </a:graphicData>
            </a:graphic>
          </wp:inline>
        </w:drawing>
      </w:r>
    </w:p>
    <w:p w14:paraId="0A310682" w14:textId="77777777" w:rsidR="00A54390" w:rsidRPr="00A54390" w:rsidRDefault="00A54390" w:rsidP="00A54390">
      <w:pPr>
        <w:rPr>
          <w:rFonts w:ascii="Times New Roman" w:hAnsi="Times New Roman"/>
          <w:sz w:val="24"/>
        </w:rPr>
      </w:pPr>
    </w:p>
    <w:p w14:paraId="0C0574B2" w14:textId="77777777" w:rsidR="005E4D4F" w:rsidRPr="005E4D4F" w:rsidRDefault="005E4D4F" w:rsidP="00A156E4">
      <w:pPr>
        <w:pStyle w:val="Ueberschrift"/>
      </w:pPr>
      <w:bookmarkStart w:id="1" w:name="_Toc26086066"/>
      <w:bookmarkStart w:id="2" w:name="_Toc68418491"/>
      <w:r w:rsidRPr="005E4D4F">
        <w:t>Literatur</w:t>
      </w:r>
      <w:bookmarkEnd w:id="1"/>
      <w:bookmarkEnd w:id="2"/>
    </w:p>
    <w:sdt>
      <w:sdtPr>
        <w:rPr>
          <w:rFonts w:cs="Arial"/>
          <w:szCs w:val="20"/>
          <w:lang w:eastAsia="de-DE"/>
        </w:rPr>
        <w:tag w:val="MENDELEY_BIBLIOGRAPHY"/>
        <w:id w:val="332961881"/>
        <w:placeholder>
          <w:docPart w:val="DefaultPlaceholder_-1854013440"/>
        </w:placeholder>
      </w:sdtPr>
      <w:sdtEndPr/>
      <w:sdtContent>
        <w:p w14:paraId="0249CADF" w14:textId="77777777" w:rsidR="00741771" w:rsidRDefault="00741771">
          <w:pPr>
            <w:autoSpaceDE w:val="0"/>
            <w:autoSpaceDN w:val="0"/>
            <w:ind w:hanging="640"/>
            <w:divId w:val="1060177029"/>
            <w:rPr>
              <w:sz w:val="24"/>
            </w:rPr>
          </w:pPr>
          <w:r>
            <w:t>[1]</w:t>
          </w:r>
          <w:r>
            <w:tab/>
            <w:t>Statistik Austria, “Nutzenergieanalyse.” STATISTIK AUSTRIA, 2022.</w:t>
          </w:r>
        </w:p>
        <w:p w14:paraId="63F883A2" w14:textId="77777777" w:rsidR="00741771" w:rsidRPr="00CF7ECF" w:rsidRDefault="00741771">
          <w:pPr>
            <w:autoSpaceDE w:val="0"/>
            <w:autoSpaceDN w:val="0"/>
            <w:ind w:hanging="640"/>
            <w:divId w:val="1781947228"/>
            <w:rPr>
              <w:lang w:val="en-GB"/>
            </w:rPr>
          </w:pPr>
          <w:r w:rsidRPr="00CF7ECF">
            <w:rPr>
              <w:lang w:val="en-GB"/>
            </w:rPr>
            <w:t>[2]</w:t>
          </w:r>
          <w:r w:rsidRPr="00CF7ECF">
            <w:rPr>
              <w:lang w:val="en-GB"/>
            </w:rPr>
            <w:tab/>
            <w:t>“GEMIS 4.9.3.” https://www.umweltbundesamt.at/angebot/leistungen/angebot-cfp/gemis (accessed Jul. 13, 2022).</w:t>
          </w:r>
        </w:p>
        <w:p w14:paraId="4FDEC7A7" w14:textId="77777777" w:rsidR="00741771" w:rsidRDefault="00741771">
          <w:pPr>
            <w:autoSpaceDE w:val="0"/>
            <w:autoSpaceDN w:val="0"/>
            <w:ind w:hanging="640"/>
            <w:divId w:val="1794447272"/>
          </w:pPr>
          <w:r>
            <w:t>[3]</w:t>
          </w:r>
          <w:r>
            <w:tab/>
            <w:t>“</w:t>
          </w:r>
          <w:proofErr w:type="spellStart"/>
          <w:r>
            <w:t>Exiobase</w:t>
          </w:r>
          <w:proofErr w:type="spellEnd"/>
          <w:r>
            <w:t xml:space="preserve"> 3.3.18”.</w:t>
          </w:r>
        </w:p>
        <w:p w14:paraId="309E2E6E" w14:textId="77777777" w:rsidR="00741771" w:rsidRDefault="00741771">
          <w:pPr>
            <w:autoSpaceDE w:val="0"/>
            <w:autoSpaceDN w:val="0"/>
            <w:ind w:hanging="640"/>
            <w:divId w:val="341590873"/>
          </w:pPr>
          <w:r>
            <w:t>[4]</w:t>
          </w:r>
          <w:r>
            <w:tab/>
            <w:t xml:space="preserve">R. Geyer, S. </w:t>
          </w:r>
          <w:proofErr w:type="spellStart"/>
          <w:r>
            <w:t>Knöttner</w:t>
          </w:r>
          <w:proofErr w:type="spellEnd"/>
          <w:r>
            <w:t xml:space="preserve">, C. </w:t>
          </w:r>
          <w:proofErr w:type="spellStart"/>
          <w:r>
            <w:t>Diendorfer</w:t>
          </w:r>
          <w:proofErr w:type="spellEnd"/>
          <w:r>
            <w:t xml:space="preserve">, </w:t>
          </w:r>
          <w:proofErr w:type="spellStart"/>
          <w:r>
            <w:t>and</w:t>
          </w:r>
          <w:proofErr w:type="spellEnd"/>
          <w:r>
            <w:t xml:space="preserve"> G. Drexler-Schmid, “Energieinfrastruktur für 100 % Erneuerbare Energie in der Industrie,” 2019.</w:t>
          </w:r>
        </w:p>
        <w:p w14:paraId="3F6806DB" w14:textId="77777777" w:rsidR="00741771" w:rsidRDefault="00741771">
          <w:pPr>
            <w:autoSpaceDE w:val="0"/>
            <w:autoSpaceDN w:val="0"/>
            <w:ind w:hanging="640"/>
            <w:divId w:val="1008483678"/>
          </w:pPr>
          <w:r>
            <w:t>[5]</w:t>
          </w:r>
          <w:r>
            <w:tab/>
            <w:t xml:space="preserve">C. </w:t>
          </w:r>
          <w:proofErr w:type="spellStart"/>
          <w:r>
            <w:t>Diendorfer</w:t>
          </w:r>
          <w:proofErr w:type="spellEnd"/>
          <w:r>
            <w:t xml:space="preserve"> </w:t>
          </w:r>
          <w:r>
            <w:rPr>
              <w:i/>
              <w:iCs/>
            </w:rPr>
            <w:t>et al.</w:t>
          </w:r>
          <w:r>
            <w:t>, “Klimaneutralität Österreichs bis 2040. Beitrag der österreichischen Industrie,” 2021.</w:t>
          </w:r>
        </w:p>
        <w:p w14:paraId="68AAF16B" w14:textId="14DBD1AF" w:rsidR="005E4D4F" w:rsidRDefault="00741771" w:rsidP="00227125">
          <w:pPr>
            <w:pStyle w:val="Literatur"/>
          </w:pPr>
          <w:r>
            <w:t> </w:t>
          </w:r>
        </w:p>
      </w:sdtContent>
    </w:sdt>
    <w:p w14:paraId="2F0DAADC" w14:textId="3A608AFF" w:rsidR="00564569" w:rsidRDefault="00564569" w:rsidP="00227125">
      <w:pPr>
        <w:pStyle w:val="Literatur"/>
      </w:pPr>
    </w:p>
    <w:sectPr w:rsidR="00564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6E5B" w14:textId="77777777" w:rsidR="000F7650" w:rsidRDefault="000F7650">
      <w:r>
        <w:separator/>
      </w:r>
    </w:p>
  </w:endnote>
  <w:endnote w:type="continuationSeparator" w:id="0">
    <w:p w14:paraId="72AD8FEF" w14:textId="77777777" w:rsidR="000F7650" w:rsidRDefault="000F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79CA" w14:textId="77777777" w:rsidR="000F7650" w:rsidRDefault="000F7650">
      <w:r>
        <w:separator/>
      </w:r>
    </w:p>
  </w:footnote>
  <w:footnote w:type="continuationSeparator" w:id="0">
    <w:p w14:paraId="5023F131" w14:textId="77777777" w:rsidR="000F7650" w:rsidRDefault="000F7650">
      <w:r>
        <w:continuationSeparator/>
      </w:r>
    </w:p>
  </w:footnote>
  <w:footnote w:id="1">
    <w:p w14:paraId="5AFAD3AF" w14:textId="327C2C5D" w:rsidR="00371180" w:rsidRPr="00AC7549" w:rsidRDefault="00371180">
      <w:pPr>
        <w:pStyle w:val="Funotentext"/>
        <w:rPr>
          <w:lang w:val="de-AT"/>
        </w:rPr>
      </w:pPr>
      <w:r>
        <w:rPr>
          <w:rStyle w:val="Funotenzeichen"/>
        </w:rPr>
        <w:footnoteRef/>
      </w:r>
      <w:r>
        <w:t xml:space="preserve"> </w:t>
      </w:r>
      <w:proofErr w:type="spellStart"/>
      <w:r w:rsidR="005A278A" w:rsidRPr="00C23FB2">
        <w:rPr>
          <w:lang w:val="de-AT"/>
        </w:rPr>
        <w:t>LOwCArbon</w:t>
      </w:r>
      <w:proofErr w:type="spellEnd"/>
      <w:r w:rsidR="005A278A" w:rsidRPr="00C23FB2">
        <w:rPr>
          <w:lang w:val="de-AT"/>
        </w:rPr>
        <w:t xml:space="preserve"> </w:t>
      </w:r>
      <w:proofErr w:type="spellStart"/>
      <w:r w:rsidR="005A278A" w:rsidRPr="00C23FB2">
        <w:rPr>
          <w:lang w:val="de-AT"/>
        </w:rPr>
        <w:t>LOwerCArinthia</w:t>
      </w:r>
      <w:proofErr w:type="spellEnd"/>
      <w:r w:rsidR="005A278A" w:rsidRPr="00C23FB2">
        <w:rPr>
          <w:lang w:val="de-AT"/>
        </w:rPr>
        <w:t xml:space="preserve"> </w:t>
      </w:r>
      <w:proofErr w:type="spellStart"/>
      <w:r w:rsidR="005A278A" w:rsidRPr="00C23FB2">
        <w:rPr>
          <w:lang w:val="de-AT"/>
        </w:rPr>
        <w:t>TRANSformation</w:t>
      </w:r>
      <w:proofErr w:type="spellEnd"/>
      <w:r>
        <w:rPr>
          <w:lang w:val="de-A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5701BB2"/>
    <w:multiLevelType w:val="multilevel"/>
    <w:tmpl w:val="96F835BE"/>
    <w:lvl w:ilvl="0">
      <w:start w:val="1"/>
      <w:numFmt w:val="decimal"/>
      <w:lvlText w:val="%1."/>
      <w:lvlJc w:val="left"/>
      <w:pPr>
        <w:ind w:left="785" w:hanging="360"/>
      </w:pPr>
      <w:rPr>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9783F"/>
    <w:multiLevelType w:val="hybridMultilevel"/>
    <w:tmpl w:val="B21C876E"/>
    <w:lvl w:ilvl="0" w:tplc="EE68C65E">
      <w:start w:val="1"/>
      <w:numFmt w:val="decimal"/>
      <w:lvlText w:val="%1"/>
      <w:lvlJc w:val="left"/>
      <w:pPr>
        <w:ind w:left="720" w:hanging="360"/>
      </w:pPr>
      <w:rPr>
        <w:rFonts w:hint="default"/>
      </w:rPr>
    </w:lvl>
    <w:lvl w:ilvl="1" w:tplc="90407D3C">
      <w:start w:val="1"/>
      <w:numFmt w:val="lowerLetter"/>
      <w:lvlText w:val="%2."/>
      <w:lvlJc w:val="left"/>
      <w:pPr>
        <w:ind w:left="1440" w:hanging="360"/>
      </w:pPr>
    </w:lvl>
    <w:lvl w:ilvl="2" w:tplc="F8E88790">
      <w:start w:val="1"/>
      <w:numFmt w:val="lowerRoman"/>
      <w:lvlText w:val="%3."/>
      <w:lvlJc w:val="right"/>
      <w:pPr>
        <w:ind w:left="2160" w:hanging="180"/>
      </w:pPr>
    </w:lvl>
    <w:lvl w:ilvl="3" w:tplc="2FF0534A">
      <w:start w:val="1"/>
      <w:numFmt w:val="decimal"/>
      <w:lvlText w:val="%4."/>
      <w:lvlJc w:val="left"/>
      <w:pPr>
        <w:ind w:left="2880" w:hanging="360"/>
      </w:pPr>
    </w:lvl>
    <w:lvl w:ilvl="4" w:tplc="C6A68B3E">
      <w:start w:val="1"/>
      <w:numFmt w:val="lowerLetter"/>
      <w:lvlText w:val="%5."/>
      <w:lvlJc w:val="left"/>
      <w:pPr>
        <w:ind w:left="3600" w:hanging="360"/>
      </w:pPr>
    </w:lvl>
    <w:lvl w:ilvl="5" w:tplc="2B98EC86">
      <w:start w:val="1"/>
      <w:numFmt w:val="lowerRoman"/>
      <w:lvlText w:val="%6."/>
      <w:lvlJc w:val="right"/>
      <w:pPr>
        <w:ind w:left="4320" w:hanging="180"/>
      </w:pPr>
    </w:lvl>
    <w:lvl w:ilvl="6" w:tplc="72B6457E">
      <w:start w:val="1"/>
      <w:numFmt w:val="decimal"/>
      <w:lvlText w:val="%7."/>
      <w:lvlJc w:val="left"/>
      <w:pPr>
        <w:ind w:left="5040" w:hanging="360"/>
      </w:pPr>
    </w:lvl>
    <w:lvl w:ilvl="7" w:tplc="7CD8EA4A">
      <w:start w:val="1"/>
      <w:numFmt w:val="lowerLetter"/>
      <w:lvlText w:val="%8."/>
      <w:lvlJc w:val="left"/>
      <w:pPr>
        <w:ind w:left="5760" w:hanging="360"/>
      </w:pPr>
    </w:lvl>
    <w:lvl w:ilvl="8" w:tplc="B5260E62">
      <w:start w:val="1"/>
      <w:numFmt w:val="lowerRoman"/>
      <w:lvlText w:val="%9."/>
      <w:lvlJc w:val="right"/>
      <w:pPr>
        <w:ind w:left="6480" w:hanging="180"/>
      </w:pPr>
    </w:lvl>
  </w:abstractNum>
  <w:abstractNum w:abstractNumId="4" w15:restartNumberingAfterBreak="0">
    <w:nsid w:val="55D75967"/>
    <w:multiLevelType w:val="multilevel"/>
    <w:tmpl w:val="0978BA90"/>
    <w:numStyleLink w:val="Aufzhlung"/>
  </w:abstractNum>
  <w:abstractNum w:abstractNumId="5"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10E92"/>
    <w:rsid w:val="000169EA"/>
    <w:rsid w:val="00053053"/>
    <w:rsid w:val="00074205"/>
    <w:rsid w:val="000C5DCF"/>
    <w:rsid w:val="000D349C"/>
    <w:rsid w:val="000F7650"/>
    <w:rsid w:val="00190667"/>
    <w:rsid w:val="001A4EF2"/>
    <w:rsid w:val="001D00A2"/>
    <w:rsid w:val="002014D3"/>
    <w:rsid w:val="00227125"/>
    <w:rsid w:val="00262FD5"/>
    <w:rsid w:val="002946B8"/>
    <w:rsid w:val="002A545D"/>
    <w:rsid w:val="002F3131"/>
    <w:rsid w:val="00330C3A"/>
    <w:rsid w:val="00335E63"/>
    <w:rsid w:val="00350F98"/>
    <w:rsid w:val="00355DC1"/>
    <w:rsid w:val="00371180"/>
    <w:rsid w:val="00372D53"/>
    <w:rsid w:val="003B676F"/>
    <w:rsid w:val="003C28FE"/>
    <w:rsid w:val="0041566B"/>
    <w:rsid w:val="00483B87"/>
    <w:rsid w:val="0054387E"/>
    <w:rsid w:val="00564569"/>
    <w:rsid w:val="005806A4"/>
    <w:rsid w:val="005A278A"/>
    <w:rsid w:val="005A74C9"/>
    <w:rsid w:val="005B1ADB"/>
    <w:rsid w:val="005E4D4F"/>
    <w:rsid w:val="00632419"/>
    <w:rsid w:val="0064384C"/>
    <w:rsid w:val="00653383"/>
    <w:rsid w:val="007234C1"/>
    <w:rsid w:val="007378C8"/>
    <w:rsid w:val="00741771"/>
    <w:rsid w:val="00741EC0"/>
    <w:rsid w:val="007746CE"/>
    <w:rsid w:val="007A51C2"/>
    <w:rsid w:val="00803917"/>
    <w:rsid w:val="00820DDC"/>
    <w:rsid w:val="008C5DDB"/>
    <w:rsid w:val="009410D4"/>
    <w:rsid w:val="0094155A"/>
    <w:rsid w:val="00A07737"/>
    <w:rsid w:val="00A156E4"/>
    <w:rsid w:val="00A17769"/>
    <w:rsid w:val="00A45781"/>
    <w:rsid w:val="00A54390"/>
    <w:rsid w:val="00A6148D"/>
    <w:rsid w:val="00AC7549"/>
    <w:rsid w:val="00AE54CF"/>
    <w:rsid w:val="00B21F5F"/>
    <w:rsid w:val="00BA77EB"/>
    <w:rsid w:val="00BF05FA"/>
    <w:rsid w:val="00C56BBB"/>
    <w:rsid w:val="00C97493"/>
    <w:rsid w:val="00CC7476"/>
    <w:rsid w:val="00CD6C17"/>
    <w:rsid w:val="00CE1A70"/>
    <w:rsid w:val="00CF7ECF"/>
    <w:rsid w:val="00D21947"/>
    <w:rsid w:val="00D53E86"/>
    <w:rsid w:val="00D736F8"/>
    <w:rsid w:val="00DB3E96"/>
    <w:rsid w:val="00DD5D3C"/>
    <w:rsid w:val="00DD760E"/>
    <w:rsid w:val="00E520E6"/>
    <w:rsid w:val="00E52A36"/>
    <w:rsid w:val="00E917BB"/>
    <w:rsid w:val="00E93465"/>
    <w:rsid w:val="00E954A2"/>
    <w:rsid w:val="00EA5F3E"/>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val="de-DE" w:eastAsia="ko-KR"/>
    </w:rPr>
  </w:style>
  <w:style w:type="paragraph" w:styleId="berschrift1">
    <w:name w:val="heading 1"/>
    <w:basedOn w:val="Standard"/>
    <w:next w:val="Standard"/>
    <w:link w:val="berschrift1Zchn"/>
    <w:uiPriority w:val="9"/>
    <w:qFormat/>
    <w:rsid w:val="00CD6C17"/>
    <w:pPr>
      <w:spacing w:before="120" w:after="120" w:line="288" w:lineRule="auto"/>
      <w:contextualSpacing/>
      <w:outlineLvl w:val="0"/>
    </w:pPr>
    <w:rPr>
      <w:rFonts w:ascii="Calibri" w:eastAsiaTheme="majorEastAsia" w:hAnsi="Calibri" w:cstheme="majorBidi"/>
      <w:b/>
      <w:bCs/>
      <w:caps/>
      <w:sz w:val="32"/>
      <w:szCs w:val="28"/>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Listenabsatz">
    <w:name w:val="List Paragraph"/>
    <w:basedOn w:val="Standard"/>
    <w:uiPriority w:val="34"/>
    <w:rsid w:val="001D00A2"/>
    <w:pPr>
      <w:spacing w:line="288" w:lineRule="auto"/>
      <w:ind w:left="720" w:firstLine="709"/>
    </w:pPr>
    <w:rPr>
      <w:rFonts w:eastAsiaTheme="minorHAnsi"/>
      <w:sz w:val="22"/>
      <w:lang w:val="en-GB" w:eastAsia="de-AT"/>
    </w:rPr>
  </w:style>
  <w:style w:type="paragraph" w:styleId="StandardWeb">
    <w:name w:val="Normal (Web)"/>
    <w:basedOn w:val="Standard"/>
    <w:uiPriority w:val="99"/>
    <w:semiHidden/>
    <w:unhideWhenUsed/>
    <w:rsid w:val="00DD5D3C"/>
    <w:pPr>
      <w:spacing w:before="100" w:beforeAutospacing="1" w:after="100" w:afterAutospacing="1"/>
      <w:jc w:val="left"/>
    </w:pPr>
    <w:rPr>
      <w:rFonts w:ascii="Times New Roman" w:eastAsiaTheme="minorEastAsia" w:hAnsi="Times New Roman"/>
      <w:sz w:val="24"/>
      <w:lang w:val="de-AT" w:eastAsia="de-AT"/>
    </w:rPr>
  </w:style>
  <w:style w:type="character" w:customStyle="1" w:styleId="berschrift1Zchn">
    <w:name w:val="Überschrift 1 Zchn"/>
    <w:basedOn w:val="Absatz-Standardschriftart"/>
    <w:link w:val="berschrift1"/>
    <w:uiPriority w:val="9"/>
    <w:rsid w:val="00CD6C17"/>
    <w:rPr>
      <w:rFonts w:ascii="Calibri" w:eastAsiaTheme="majorEastAsia" w:hAnsi="Calibri" w:cstheme="majorBidi"/>
      <w:b/>
      <w:bCs/>
      <w:caps/>
      <w:sz w:val="32"/>
      <w:szCs w:val="28"/>
      <w:lang w:val="en-US" w:eastAsia="en-US" w:bidi="en-US"/>
    </w:rPr>
  </w:style>
  <w:style w:type="character" w:styleId="Platzhaltertext">
    <w:name w:val="Placeholder Text"/>
    <w:basedOn w:val="Absatz-Standardschriftart"/>
    <w:uiPriority w:val="99"/>
    <w:semiHidden/>
    <w:rsid w:val="00741771"/>
    <w:rPr>
      <w:color w:val="808080"/>
    </w:rPr>
  </w:style>
  <w:style w:type="paragraph" w:styleId="Sprechblasentext">
    <w:name w:val="Balloon Text"/>
    <w:basedOn w:val="Standard"/>
    <w:link w:val="SprechblasentextZchn"/>
    <w:uiPriority w:val="99"/>
    <w:semiHidden/>
    <w:unhideWhenUsed/>
    <w:rsid w:val="0065338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383"/>
    <w:rPr>
      <w:rFonts w:ascii="Segoe UI" w:hAnsi="Segoe UI" w:cs="Segoe UI"/>
      <w:sz w:val="18"/>
      <w:szCs w:val="18"/>
      <w:lang w:val="de-DE" w:eastAsia="ko-KR"/>
    </w:rPr>
  </w:style>
  <w:style w:type="character" w:styleId="Kommentarzeichen">
    <w:name w:val="annotation reference"/>
    <w:basedOn w:val="Absatz-Standardschriftart"/>
    <w:uiPriority w:val="99"/>
    <w:semiHidden/>
    <w:unhideWhenUsed/>
    <w:rsid w:val="00653383"/>
    <w:rPr>
      <w:sz w:val="16"/>
      <w:szCs w:val="16"/>
    </w:rPr>
  </w:style>
  <w:style w:type="paragraph" w:styleId="Kommentartext">
    <w:name w:val="annotation text"/>
    <w:basedOn w:val="Standard"/>
    <w:link w:val="KommentartextZchn"/>
    <w:uiPriority w:val="99"/>
    <w:semiHidden/>
    <w:unhideWhenUsed/>
    <w:rsid w:val="00653383"/>
    <w:rPr>
      <w:szCs w:val="20"/>
    </w:rPr>
  </w:style>
  <w:style w:type="character" w:customStyle="1" w:styleId="KommentartextZchn">
    <w:name w:val="Kommentartext Zchn"/>
    <w:basedOn w:val="Absatz-Standardschriftart"/>
    <w:link w:val="Kommentartext"/>
    <w:uiPriority w:val="99"/>
    <w:semiHidden/>
    <w:rsid w:val="00653383"/>
    <w:rPr>
      <w:rFonts w:ascii="Arial" w:hAnsi="Arial"/>
      <w:lang w:val="de-DE" w:eastAsia="ko-KR"/>
    </w:rPr>
  </w:style>
  <w:style w:type="paragraph" w:styleId="Kommentarthema">
    <w:name w:val="annotation subject"/>
    <w:basedOn w:val="Kommentartext"/>
    <w:next w:val="Kommentartext"/>
    <w:link w:val="KommentarthemaZchn"/>
    <w:uiPriority w:val="99"/>
    <w:semiHidden/>
    <w:unhideWhenUsed/>
    <w:rsid w:val="00653383"/>
    <w:rPr>
      <w:b/>
      <w:bCs/>
    </w:rPr>
  </w:style>
  <w:style w:type="character" w:customStyle="1" w:styleId="KommentarthemaZchn">
    <w:name w:val="Kommentarthema Zchn"/>
    <w:basedOn w:val="KommentartextZchn"/>
    <w:link w:val="Kommentarthema"/>
    <w:uiPriority w:val="99"/>
    <w:semiHidden/>
    <w:rsid w:val="00653383"/>
    <w:rPr>
      <w:rFonts w:ascii="Arial" w:hAnsi="Arial"/>
      <w:b/>
      <w:bCs/>
      <w:lang w:val="de-DE" w:eastAsia="ko-KR"/>
    </w:rPr>
  </w:style>
  <w:style w:type="table" w:styleId="Tabellenraster">
    <w:name w:val="Table Grid"/>
    <w:basedOn w:val="NormaleTabelle"/>
    <w:uiPriority w:val="59"/>
    <w:rsid w:val="00A17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56BBB"/>
    <w:pPr>
      <w:spacing w:after="200"/>
    </w:pPr>
    <w:rPr>
      <w:i/>
      <w:iCs/>
      <w:color w:val="44546A" w:themeColor="text2"/>
      <w:sz w:val="18"/>
      <w:szCs w:val="18"/>
    </w:rPr>
  </w:style>
  <w:style w:type="paragraph" w:styleId="Funotentext">
    <w:name w:val="footnote text"/>
    <w:basedOn w:val="Standard"/>
    <w:link w:val="FunotentextZchn"/>
    <w:uiPriority w:val="99"/>
    <w:semiHidden/>
    <w:unhideWhenUsed/>
    <w:rsid w:val="00371180"/>
    <w:rPr>
      <w:szCs w:val="20"/>
    </w:rPr>
  </w:style>
  <w:style w:type="character" w:customStyle="1" w:styleId="FunotentextZchn">
    <w:name w:val="Fußnotentext Zchn"/>
    <w:basedOn w:val="Absatz-Standardschriftart"/>
    <w:link w:val="Funotentext"/>
    <w:uiPriority w:val="99"/>
    <w:semiHidden/>
    <w:rsid w:val="00371180"/>
    <w:rPr>
      <w:rFonts w:ascii="Arial" w:hAnsi="Arial"/>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4676">
      <w:bodyDiv w:val="1"/>
      <w:marLeft w:val="0"/>
      <w:marRight w:val="0"/>
      <w:marTop w:val="0"/>
      <w:marBottom w:val="0"/>
      <w:divBdr>
        <w:top w:val="none" w:sz="0" w:space="0" w:color="auto"/>
        <w:left w:val="none" w:sz="0" w:space="0" w:color="auto"/>
        <w:bottom w:val="none" w:sz="0" w:space="0" w:color="auto"/>
        <w:right w:val="none" w:sz="0" w:space="0" w:color="auto"/>
      </w:divBdr>
    </w:div>
    <w:div w:id="827092110">
      <w:bodyDiv w:val="1"/>
      <w:marLeft w:val="0"/>
      <w:marRight w:val="0"/>
      <w:marTop w:val="0"/>
      <w:marBottom w:val="0"/>
      <w:divBdr>
        <w:top w:val="none" w:sz="0" w:space="0" w:color="auto"/>
        <w:left w:val="none" w:sz="0" w:space="0" w:color="auto"/>
        <w:bottom w:val="none" w:sz="0" w:space="0" w:color="auto"/>
        <w:right w:val="none" w:sz="0" w:space="0" w:color="auto"/>
      </w:divBdr>
    </w:div>
    <w:div w:id="1393574330">
      <w:bodyDiv w:val="1"/>
      <w:marLeft w:val="0"/>
      <w:marRight w:val="0"/>
      <w:marTop w:val="0"/>
      <w:marBottom w:val="0"/>
      <w:divBdr>
        <w:top w:val="none" w:sz="0" w:space="0" w:color="auto"/>
        <w:left w:val="none" w:sz="0" w:space="0" w:color="auto"/>
        <w:bottom w:val="none" w:sz="0" w:space="0" w:color="auto"/>
        <w:right w:val="none" w:sz="0" w:space="0" w:color="auto"/>
      </w:divBdr>
      <w:divsChild>
        <w:div w:id="1060177029">
          <w:marLeft w:val="640"/>
          <w:marRight w:val="0"/>
          <w:marTop w:val="0"/>
          <w:marBottom w:val="0"/>
          <w:divBdr>
            <w:top w:val="none" w:sz="0" w:space="0" w:color="auto"/>
            <w:left w:val="none" w:sz="0" w:space="0" w:color="auto"/>
            <w:bottom w:val="none" w:sz="0" w:space="0" w:color="auto"/>
            <w:right w:val="none" w:sz="0" w:space="0" w:color="auto"/>
          </w:divBdr>
        </w:div>
        <w:div w:id="1781947228">
          <w:marLeft w:val="640"/>
          <w:marRight w:val="0"/>
          <w:marTop w:val="0"/>
          <w:marBottom w:val="0"/>
          <w:divBdr>
            <w:top w:val="none" w:sz="0" w:space="0" w:color="auto"/>
            <w:left w:val="none" w:sz="0" w:space="0" w:color="auto"/>
            <w:bottom w:val="none" w:sz="0" w:space="0" w:color="auto"/>
            <w:right w:val="none" w:sz="0" w:space="0" w:color="auto"/>
          </w:divBdr>
        </w:div>
        <w:div w:id="1794447272">
          <w:marLeft w:val="640"/>
          <w:marRight w:val="0"/>
          <w:marTop w:val="0"/>
          <w:marBottom w:val="0"/>
          <w:divBdr>
            <w:top w:val="none" w:sz="0" w:space="0" w:color="auto"/>
            <w:left w:val="none" w:sz="0" w:space="0" w:color="auto"/>
            <w:bottom w:val="none" w:sz="0" w:space="0" w:color="auto"/>
            <w:right w:val="none" w:sz="0" w:space="0" w:color="auto"/>
          </w:divBdr>
        </w:div>
        <w:div w:id="341590873">
          <w:marLeft w:val="640"/>
          <w:marRight w:val="0"/>
          <w:marTop w:val="0"/>
          <w:marBottom w:val="0"/>
          <w:divBdr>
            <w:top w:val="none" w:sz="0" w:space="0" w:color="auto"/>
            <w:left w:val="none" w:sz="0" w:space="0" w:color="auto"/>
            <w:bottom w:val="none" w:sz="0" w:space="0" w:color="auto"/>
            <w:right w:val="none" w:sz="0" w:space="0" w:color="auto"/>
          </w:divBdr>
        </w:div>
        <w:div w:id="100848367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meltzer@joanneum.a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joanneum.a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FA46422-5A1A-44B5-9026-D67ACEA5F4F2}"/>
      </w:docPartPr>
      <w:docPartBody>
        <w:p w:rsidR="00591E91" w:rsidRDefault="00FA19EE">
          <w:r w:rsidRPr="00605668">
            <w:rPr>
              <w:rStyle w:val="Platzhaltertext"/>
            </w:rPr>
            <w:t>Klicken oder tippen Sie hier, um Text einzugeben.</w:t>
          </w:r>
        </w:p>
      </w:docPartBody>
    </w:docPart>
    <w:docPart>
      <w:docPartPr>
        <w:name w:val="9D1130AB19C74B2C8FDF320A8F4EFCCB"/>
        <w:category>
          <w:name w:val="Allgemein"/>
          <w:gallery w:val="placeholder"/>
        </w:category>
        <w:types>
          <w:type w:val="bbPlcHdr"/>
        </w:types>
        <w:behaviors>
          <w:behavior w:val="content"/>
        </w:behaviors>
        <w:guid w:val="{AA430C54-9F75-4562-ACDA-232BA48CBD27}"/>
      </w:docPartPr>
      <w:docPartBody>
        <w:p w:rsidR="003254CF" w:rsidRDefault="009E4452" w:rsidP="009E4452">
          <w:pPr>
            <w:pStyle w:val="9D1130AB19C74B2C8FDF320A8F4EFCCB"/>
          </w:pPr>
          <w:r w:rsidRPr="0060566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EE"/>
    <w:rsid w:val="003254CF"/>
    <w:rsid w:val="00420B36"/>
    <w:rsid w:val="00591E91"/>
    <w:rsid w:val="0073096B"/>
    <w:rsid w:val="00846E5C"/>
    <w:rsid w:val="009E4452"/>
    <w:rsid w:val="00B55C43"/>
    <w:rsid w:val="00B74BAA"/>
    <w:rsid w:val="00CD1735"/>
    <w:rsid w:val="00FA19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4452"/>
    <w:rPr>
      <w:color w:val="808080"/>
    </w:rPr>
  </w:style>
  <w:style w:type="paragraph" w:customStyle="1" w:styleId="9D1130AB19C74B2C8FDF320A8F4EFCCB">
    <w:name w:val="9D1130AB19C74B2C8FDF320A8F4EFCCB"/>
    <w:rsid w:val="009E4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05B09E-8024-43A7-BD1B-2D7C5D691CE9}">
  <we:reference id="wa104382081" version="1.46.0.0" store="de-DE" storeType="OMEX"/>
  <we:alternateReferences>
    <we:reference id="WA104382081" version="1.46.0.0" store="WA104382081" storeType="OMEX"/>
  </we:alternateReferences>
  <we:properties>
    <we:property name="MENDELEY_CITATIONS" value="[{&quot;citationID&quot;:&quot;MENDELEY_CITATION_be5bc68d-2860-4367-85e8-71b1c3616a0d&quot;,&quot;properties&quot;:{&quot;noteIndex&quot;:0},&quot;isEdited&quot;:false,&quot;manualOverride&quot;:{&quot;isManuallyOverridden&quot;:false,&quot;citeprocText&quot;:&quot;[1]&quot;,&quot;manualOverrideText&quot;:&quot;&quot;},&quot;citationTag&quot;:&quot;MENDELEY_CITATION_v3_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&quot;,&quot;citationItems&quot;:[{&quot;id&quot;:&quot;33518f0e-5108-331f-a073-d28b767dc072&quot;,&quot;itemData&quot;:{&quot;type&quot;:&quot;article&quot;,&quot;id&quot;:&quot;33518f0e-5108-331f-a073-d28b767dc072&quot;,&quot;title&quot;:&quot;Nutzenergieanalyse&quot;,&quot;author&quot;:[{&quot;family&quot;:&quot;Statistik Austria&quot;,&quot;given&quot;:&quot;&quot;,&quot;parse-names&quot;:false,&quot;dropping-particle&quot;:&quot;&quot;,&quot;non-dropping-particle&quot;:&quot;&quot;}],&quot;issued&quot;:{&quot;date-parts&quot;:[[2022]]},&quot;publisher&quot;:&quot;STATISTIK AUSTRIA&quot;,&quot;container-title-short&quot;:&quot;&quot;},&quot;isTemporary&quot;:false}]},{&quot;citationID&quot;:&quot;MENDELEY_CITATION_bb6b6f8d-9724-47ec-948a-6a6233fdc22a&quot;,&quot;properties&quot;:{&quot;noteIndex&quot;:0},&quot;isEdited&quot;:false,&quot;manualOverride&quot;:{&quot;isManuallyOverridden&quot;:false,&quot;citeprocText&quot;:&quot;[2]&quot;,&quot;manualOverrideText&quot;:&quot;&quot;},&quot;citationTag&quot;:&quot;MENDELEY_CITATION_v3_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&quot;,&quot;citationItems&quot;:[{&quot;id&quot;:&quot;3e715728-830d-3294-9b41-0c14fa392158&quot;,&quot;itemData&quot;:{&quot;type&quot;:&quot;webpage&quot;,&quot;id&quot;:&quot;3e715728-830d-3294-9b41-0c14fa392158&quot;,&quot;title&quot;:&quot;GEMIS 4.9.3&quot;,&quot;accessed&quot;:{&quot;date-parts&quot;:[[2022,7,13]]},&quot;URL&quot;:&quot;https://www.umweltbundesamt.at/angebot/leistungen/angebot-cfp/gemis&quot;,&quot;container-title-short&quot;:&quot;&quot;},&quot;isTemporary&quot;:false}]},{&quot;citationID&quot;:&quot;MENDELEY_CITATION_cf9d585b-73dd-41cd-8ca0-c87d9a73a882&quot;,&quot;properties&quot;:{&quot;noteIndex&quot;:0},&quot;isEdited&quot;:false,&quot;manualOverride&quot;:{&quot;isManuallyOverridden&quot;:false,&quot;citeprocText&quot;:&quot;[3]&quot;,&quot;manualOverrideText&quot;:&quot;&quot;},&quot;citationTag&quot;:&quot;MENDELEY_CITATION_v3_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&quot;,&quot;citationItems&quot;:[{&quot;id&quot;:&quot;4d97192d-62da-37db-af95-5794615b5828&quot;,&quot;itemData&quot;:{&quot;type&quot;:&quot;article-journal&quot;,&quot;id&quot;:&quot;4d97192d-62da-37db-af95-5794615b5828&quot;,&quot;title&quot;:&quot;Exiobase 3.3.18&quot;,&quot;container-title-short&quot;:&quot;&quot;},&quot;isTemporary&quot;:false}]},{&quot;citationID&quot;:&quot;MENDELEY_CITATION_5bdfad9e-c8d2-42c7-8784-965890fb8e2e&quot;,&quot;properties&quot;:{&quot;noteIndex&quot;:0},&quot;isEdited&quot;:false,&quot;manualOverride&quot;:{&quot;isManuallyOverridden&quot;:false,&quot;citeprocText&quot;:&quot;[4], [5]&quot;,&quot;manualOverrideText&quot;:&quot;&quot;},&quot;citationTag&quot;:&quot;MENDELEY_CITATION_v3_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&quot;,&quot;citationItems&quot;:[{&quot;id&quot;:&quot;0a6d942f-f67a-3ff9-b54f-ec91be7a63f1&quot;,&quot;itemData&quot;:{&quot;type&quot;:&quot;report&quot;,&quot;id&quot;:&quot;0a6d942f-f67a-3ff9-b54f-ec91be7a63f1&quot;,&quot;title&quot;:&quot;Energieinfrastruktur für 100 % Erneuerbare Energie in der Industrie&quot;,&quot;author&quot;:[{&quot;family&quot;:&quot;Geyer&quot;,&quot;given&quot;:&quot;Roman&quot;,&quot;parse-names&quot;:false,&quot;dropping-particle&quot;:&quot;&quot;,&quot;non-dropping-particle&quot;:&quot;&quot;},{&quot;family&quot;:&quot;Knöttner&quot;,&quot;given&quot;:&quot;Sophie&quot;,&quot;parse-names&quot;:false,&quot;dropping-particle&quot;:&quot;&quot;,&quot;non-dropping-particle&quot;:&quot;&quot;},{&quot;family&quot;:&quot;Diendorfer&quot;,&quot;given&quot;:&quot;Christian&quot;,&quot;parse-names&quot;:false,&quot;dropping-particle&quot;:&quot;&quot;,&quot;non-dropping-particle&quot;:&quot;&quot;},{&quot;family&quot;:&quot;Drexler-Schmid&quot;,&quot;given&quot;:&quot;Gerwin&quot;,&quot;parse-names&quot;:false,&quot;dropping-particle&quot;:&quot;&quot;,&quot;non-dropping-particle&quot;:&quot;&quot;}],&quot;issued&quot;:{&quot;date-parts&quot;:[[2019]]},&quot;container-title-short&quot;:&quot;&quot;},&quot;isTemporary&quot;:false},{&quot;id&quot;:&quot;ab3c4c37-0565-3f74-bd06-87fc28c39601&quot;,&quot;itemData&quot;:{&quot;type&quot;:&quot;report&quot;,&quot;id&quot;:&quot;ab3c4c37-0565-3f74-bd06-87fc28c39601&quot;,&quot;title&quot;:&quot;Klimaneutralität Österreichs bis 2040.\nBeitrag der österreichischen Industrie&quot;,&quot;author&quot;:[{&quot;family&quot;:&quot;Diendorfer&quot;,&quot;given&quot;:&quot;Christian&quot;,&quot;parse-names&quot;:false,&quot;dropping-particle&quot;:&quot;&quot;,&quot;non-dropping-particle&quot;:&quot;&quot;},{&quot;family&quot;:&quot;Gahleitner&quot;,&quot;given&quot;:&quot;Bernhard&quot;,&quot;parse-names&quot;:false,&quot;dropping-particle&quot;:&quot;&quot;,&quot;non-dropping-particle&quot;:&quot;&quot;},{&quot;family&quot;:&quot;Dachs&quot;,&quot;given&quot;:&quot;Bernhard&quot;,&quot;parse-names&quot;:false,&quot;dropping-particle&quot;:&quot;&quot;,&quot;non-dropping-particle&quot;:&quot;&quot;},{&quot;family&quot;:&quot;Kienberger&quot;,&quot;given&quot;:&quot;Thomas&quot;,&quot;parse-names&quot;:false,&quot;dropping-particle&quot;:&quot;&quot;,&quot;non-dropping-particle&quot;:&quot;&quot;},{&quot;family&quot;:&quot;Nagovnak&quot;,&quot;given&quot;:&quot;Peter&quot;,&quot;parse-names&quot;:false,&quot;dropping-particle&quot;:&quot;&quot;,&quot;non-dropping-particle&quot;:&quot;&quot;},{&quot;family&quot;:&quot;Böhm&quot;,&quot;given&quot;:&quot;Hans&quot;,&quot;parse-names&quot;:false,&quot;dropping-particle&quot;:&quot;&quot;,&quot;non-dropping-particle&quot;:&quot;&quot;},{&quot;family&quot;:&quot;Moser&quot;,&quot;given&quot;:&quot;Simon&quot;,&quot;parse-names&quot;:false,&quot;dropping-particle&quot;:&quot;&quot;,&quot;non-dropping-particle&quot;:&quot;&quot;},{&quot;family&quot;:&quot;Thenius&quot;,&quot;given&quot;:&quot;Gregor&quot;,&quot;parse-names&quot;:false,&quot;dropping-particle&quot;:&quot;&quot;,&quot;non-dropping-particle&quot;:&quot;&quot;},{&quot;family&quot;:&quot;Knaus&quot;,&quot;given&quot;:&quot;Karina&quot;,&quot;parse-names&quot;:false,&quot;dropping-particle&quot;:&quot;&quot;,&quot;non-dropping-particle&quot;:&quot;&quot;}],&quot;issued&quot;:{&quot;date-parts&quot;:[[2021]]},&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6CDC-D2C3-4960-AD3E-51B2CAC0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5760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Meltzer, Andreas</cp:lastModifiedBy>
  <cp:revision>3</cp:revision>
  <dcterms:created xsi:type="dcterms:W3CDTF">2022-11-21T16:29:00Z</dcterms:created>
  <dcterms:modified xsi:type="dcterms:W3CDTF">2022-11-22T10:49:00Z</dcterms:modified>
</cp:coreProperties>
</file>