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376E2" w14:textId="1E0BA405" w:rsidR="00E76612" w:rsidRPr="00640549" w:rsidRDefault="00E76612" w:rsidP="0080158F">
      <w:pPr>
        <w:pStyle w:val="AutorenOrganisation"/>
        <w:rPr>
          <w:b/>
          <w:snapToGrid w:val="0"/>
          <w:color w:val="auto"/>
          <w:spacing w:val="0"/>
          <w:kern w:val="28"/>
          <w:sz w:val="32"/>
          <w:szCs w:val="20"/>
          <w:lang w:val="en-US" w:eastAsia="en-US"/>
        </w:rPr>
      </w:pPr>
      <w:r w:rsidRPr="00640549">
        <w:rPr>
          <w:b/>
          <w:snapToGrid w:val="0"/>
          <w:color w:val="auto"/>
          <w:spacing w:val="0"/>
          <w:kern w:val="28"/>
          <w:sz w:val="32"/>
          <w:szCs w:val="20"/>
          <w:lang w:val="en-US" w:eastAsia="en-US"/>
        </w:rPr>
        <w:t>Seasonal hydrogen storage in different renewable electricity scenarios in the Austrian power system</w:t>
      </w:r>
    </w:p>
    <w:p w14:paraId="2611FBD8" w14:textId="77777777" w:rsidR="008908E6" w:rsidRPr="00640549" w:rsidRDefault="008908E6" w:rsidP="00A03F7E">
      <w:pPr>
        <w:pStyle w:val="AutorenOrganisation"/>
        <w:rPr>
          <w:lang w:val="en-US"/>
        </w:rPr>
      </w:pPr>
      <w:r w:rsidRPr="00640549">
        <w:rPr>
          <w:lang w:val="en-US"/>
        </w:rPr>
        <w:t>Sector coupling and flexibility</w:t>
      </w:r>
    </w:p>
    <w:p w14:paraId="0426CE85" w14:textId="6AA06365" w:rsidR="005E4D4F" w:rsidRPr="00640549" w:rsidRDefault="00A03F7E" w:rsidP="00A03F7E">
      <w:pPr>
        <w:pStyle w:val="AutorenOrganisation"/>
        <w:rPr>
          <w:lang w:val="en-US"/>
        </w:rPr>
      </w:pPr>
      <w:r w:rsidRPr="00640549">
        <w:rPr>
          <w:lang w:val="en-US"/>
        </w:rPr>
        <w:t>Marlene SAYER</w:t>
      </w:r>
      <w:r w:rsidRPr="00640549">
        <w:rPr>
          <w:vertAlign w:val="superscript"/>
          <w:lang w:val="en-US"/>
        </w:rPr>
        <w:footnoteReference w:id="1"/>
      </w:r>
      <w:r w:rsidRPr="00640549">
        <w:rPr>
          <w:lang w:val="en-US"/>
        </w:rPr>
        <w:t xml:space="preserve">, </w:t>
      </w:r>
      <w:r w:rsidR="00491D0A" w:rsidRPr="00640549">
        <w:rPr>
          <w:lang w:val="en-US"/>
        </w:rPr>
        <w:t>Reinhard HAAS</w:t>
      </w:r>
      <w:r w:rsidRPr="00640549">
        <w:rPr>
          <w:vertAlign w:val="superscript"/>
          <w:lang w:val="en-US"/>
        </w:rPr>
        <w:footnoteReference w:id="2"/>
      </w:r>
      <w:r w:rsidRPr="00640549">
        <w:rPr>
          <w:lang w:val="en-US"/>
        </w:rPr>
        <w:t xml:space="preserve">, </w:t>
      </w:r>
      <w:r w:rsidR="00491D0A" w:rsidRPr="00640549">
        <w:rPr>
          <w:lang w:val="en-US"/>
        </w:rPr>
        <w:t>Amela AJANOVIC</w:t>
      </w:r>
      <w:r w:rsidRPr="00640549">
        <w:rPr>
          <w:vertAlign w:val="superscript"/>
          <w:lang w:val="en-US"/>
        </w:rPr>
        <w:footnoteReference w:id="3"/>
      </w:r>
    </w:p>
    <w:p w14:paraId="5FCD68E1" w14:textId="77777777" w:rsidR="00A07737" w:rsidRPr="00640549" w:rsidRDefault="00A156E4" w:rsidP="00A03F7E">
      <w:pPr>
        <w:pStyle w:val="AutorenOrganisation"/>
        <w:rPr>
          <w:lang w:val="en-US"/>
        </w:rPr>
      </w:pPr>
      <w:r w:rsidRPr="00640549">
        <w:rPr>
          <w:vertAlign w:val="superscript"/>
          <w:lang w:val="en-US"/>
        </w:rPr>
        <w:t>(</w:t>
      </w:r>
      <w:r w:rsidR="00010E92" w:rsidRPr="00640549">
        <w:rPr>
          <w:vertAlign w:val="superscript"/>
          <w:lang w:val="en-US"/>
        </w:rPr>
        <w:t>1</w:t>
      </w:r>
      <w:r w:rsidR="00A03F7E" w:rsidRPr="00640549">
        <w:rPr>
          <w:vertAlign w:val="superscript"/>
          <w:lang w:val="en-US"/>
        </w:rPr>
        <w:t>,2,3</w:t>
      </w:r>
      <w:r w:rsidRPr="00640549">
        <w:rPr>
          <w:vertAlign w:val="superscript"/>
          <w:lang w:val="en-US"/>
        </w:rPr>
        <w:t>)</w:t>
      </w:r>
      <w:r w:rsidR="00A03F7E" w:rsidRPr="00640549">
        <w:rPr>
          <w:lang w:val="en-US"/>
        </w:rPr>
        <w:t xml:space="preserve"> Energy Economics Group, Vienna University of Technology</w:t>
      </w:r>
    </w:p>
    <w:p w14:paraId="25837BC1" w14:textId="77777777" w:rsidR="008908E6" w:rsidRPr="00640549" w:rsidRDefault="008908E6" w:rsidP="00807833">
      <w:pPr>
        <w:pStyle w:val="Ueberschrift"/>
        <w:rPr>
          <w:lang w:val="en-US"/>
        </w:rPr>
      </w:pPr>
    </w:p>
    <w:p w14:paraId="353760F9" w14:textId="67108AC6" w:rsidR="00D86143" w:rsidRPr="00640549" w:rsidRDefault="00807833" w:rsidP="00605842">
      <w:pPr>
        <w:pStyle w:val="Ueberschrift"/>
        <w:rPr>
          <w:lang w:val="en-US"/>
        </w:rPr>
      </w:pPr>
      <w:r w:rsidRPr="00640549">
        <w:rPr>
          <w:lang w:val="en-US"/>
        </w:rPr>
        <w:t>Motivation and research question</w:t>
      </w:r>
    </w:p>
    <w:p w14:paraId="2E7B6C58" w14:textId="65DD1A90" w:rsidR="00D94AFF" w:rsidRPr="00640549" w:rsidRDefault="0090470C" w:rsidP="0090470C">
      <w:pPr>
        <w:rPr>
          <w:lang w:val="en-US"/>
        </w:rPr>
      </w:pPr>
      <w:r w:rsidRPr="00640549">
        <w:rPr>
          <w:lang w:val="en-US"/>
        </w:rPr>
        <w:t xml:space="preserve">The existing energy system </w:t>
      </w:r>
      <w:r w:rsidR="00BA1BF8" w:rsidRPr="00640549">
        <w:rPr>
          <w:lang w:val="en-US"/>
        </w:rPr>
        <w:t>is</w:t>
      </w:r>
      <w:r w:rsidRPr="00640549">
        <w:rPr>
          <w:lang w:val="en-US"/>
        </w:rPr>
        <w:t xml:space="preserve"> facing the major challenge of transitioning from a largely fossil-based system to a renewable one. </w:t>
      </w:r>
      <w:r w:rsidR="005B2BB3" w:rsidRPr="00640549">
        <w:rPr>
          <w:lang w:val="en-US"/>
        </w:rPr>
        <w:t xml:space="preserve">In this context electricity generation together with demand patterns will change substantially due to the variability of wind and solar production and electrification in certain sectors such as the transport sector. </w:t>
      </w:r>
    </w:p>
    <w:p w14:paraId="3592D943" w14:textId="13610E50" w:rsidR="00D94AFF" w:rsidRPr="00640549" w:rsidRDefault="005B2BB3" w:rsidP="00D94AFF">
      <w:pPr>
        <w:rPr>
          <w:lang w:val="en-US"/>
        </w:rPr>
      </w:pPr>
      <w:r w:rsidRPr="00640549">
        <w:rPr>
          <w:lang w:val="en-US"/>
        </w:rPr>
        <w:t xml:space="preserve">In Austria in particular, with the </w:t>
      </w:r>
      <w:r w:rsidR="00BA1BF8" w:rsidRPr="00640549">
        <w:rPr>
          <w:lang w:val="en-US"/>
        </w:rPr>
        <w:t>“Renewable Expansion Law (EAG)”</w:t>
      </w:r>
      <w:r w:rsidR="0080158F" w:rsidRPr="00640549">
        <w:rPr>
          <w:lang w:val="en-US"/>
        </w:rPr>
        <w:t xml:space="preserve"> the concrete target of 100 % </w:t>
      </w:r>
      <w:r w:rsidR="00605842" w:rsidRPr="00640549">
        <w:rPr>
          <w:lang w:val="en-US"/>
        </w:rPr>
        <w:t>on-balance renewable electricity in 2030 was set, implying that wind and solar will shape the additional generation capacities. Therefore, it is also becoming increasingly important to integrate seasonal storage into the power grid in order to shift excess electricity production in the summer to the winter for use, see Fig</w:t>
      </w:r>
      <w:r w:rsidR="006753DA" w:rsidRPr="00640549">
        <w:rPr>
          <w:lang w:val="en-US"/>
        </w:rPr>
        <w:t xml:space="preserve">ure </w:t>
      </w:r>
      <w:r w:rsidR="00605842" w:rsidRPr="00640549">
        <w:rPr>
          <w:lang w:val="en-US"/>
        </w:rPr>
        <w:t xml:space="preserve">1. Within the project </w:t>
      </w:r>
      <w:r w:rsidR="00074F77">
        <w:rPr>
          <w:lang w:val="en-US"/>
        </w:rPr>
        <w:t>“</w:t>
      </w:r>
      <w:r w:rsidR="00605842" w:rsidRPr="00640549">
        <w:rPr>
          <w:lang w:val="en-US"/>
        </w:rPr>
        <w:t>Underground Sun Storage 2030</w:t>
      </w:r>
      <w:r w:rsidR="00074F77">
        <w:rPr>
          <w:lang w:val="en-US"/>
        </w:rPr>
        <w:t>”</w:t>
      </w:r>
      <w:r w:rsidR="006753DA" w:rsidRPr="00640549">
        <w:rPr>
          <w:lang w:val="en-US"/>
        </w:rPr>
        <w:t>,</w:t>
      </w:r>
      <w:r w:rsidR="00605842" w:rsidRPr="00640549">
        <w:rPr>
          <w:lang w:val="en-US"/>
        </w:rPr>
        <w:t xml:space="preserve"> a seasonal hydrogen storage solution in a depleted natural gas reservoir will be developed and tested</w:t>
      </w:r>
      <w:r w:rsidR="00E458A6" w:rsidRPr="00640549">
        <w:rPr>
          <w:lang w:val="en-US"/>
        </w:rPr>
        <w:t>. Figure 2 shows the process of renewable hydrogen production, storage to re</w:t>
      </w:r>
      <w:r w:rsidR="006753DA" w:rsidRPr="00640549">
        <w:rPr>
          <w:lang w:val="en-US"/>
        </w:rPr>
        <w:t>-electrification</w:t>
      </w:r>
      <w:r w:rsidR="00E458A6" w:rsidRPr="00640549">
        <w:rPr>
          <w:lang w:val="en-US"/>
        </w:rPr>
        <w:t xml:space="preserve"> including the respective efficiencies. As part of this project, this work attempts to determine the need for seasonal hydrogen storage in the future power system. </w:t>
      </w:r>
    </w:p>
    <w:p w14:paraId="0098B86B" w14:textId="77777777" w:rsidR="00D94AFF" w:rsidRPr="00640549" w:rsidRDefault="00D94AFF" w:rsidP="0028128C">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6"/>
        <w:gridCol w:w="4376"/>
      </w:tblGrid>
      <w:tr w:rsidR="0002780E" w:rsidRPr="00640549" w14:paraId="17564CD1" w14:textId="77777777" w:rsidTr="00E458A6">
        <w:tc>
          <w:tcPr>
            <w:tcW w:w="4576" w:type="dxa"/>
            <w:tcBorders>
              <w:top w:val="single" w:sz="4" w:space="0" w:color="auto"/>
              <w:left w:val="single" w:sz="4" w:space="0" w:color="auto"/>
              <w:bottom w:val="single" w:sz="4" w:space="0" w:color="auto"/>
              <w:right w:val="single" w:sz="4" w:space="0" w:color="auto"/>
            </w:tcBorders>
            <w:hideMark/>
          </w:tcPr>
          <w:p w14:paraId="54161E5A" w14:textId="77777777" w:rsidR="00087876" w:rsidRPr="00640549" w:rsidRDefault="00087876" w:rsidP="00C46225">
            <w:pPr>
              <w:spacing w:before="60" w:after="60"/>
              <w:rPr>
                <w:bCs/>
                <w:kern w:val="32"/>
                <w:lang w:val="en-US" w:eastAsia="de-DE"/>
              </w:rPr>
            </w:pPr>
            <w:r w:rsidRPr="00640549">
              <w:rPr>
                <w:noProof/>
                <w:lang w:val="en-US"/>
              </w:rPr>
              <w:drawing>
                <wp:inline distT="0" distB="0" distL="0" distR="0" wp14:anchorId="746F2DEE" wp14:editId="067BFA09">
                  <wp:extent cx="2833734" cy="1772233"/>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3577" cy="1803405"/>
                          </a:xfrm>
                          <a:prstGeom prst="rect">
                            <a:avLst/>
                          </a:prstGeom>
                          <a:noFill/>
                        </pic:spPr>
                      </pic:pic>
                    </a:graphicData>
                  </a:graphic>
                </wp:inline>
              </w:drawing>
            </w:r>
          </w:p>
        </w:tc>
        <w:tc>
          <w:tcPr>
            <w:tcW w:w="4486" w:type="dxa"/>
            <w:tcBorders>
              <w:top w:val="single" w:sz="4" w:space="0" w:color="auto"/>
              <w:left w:val="single" w:sz="4" w:space="0" w:color="auto"/>
              <w:bottom w:val="single" w:sz="4" w:space="0" w:color="auto"/>
              <w:right w:val="single" w:sz="4" w:space="0" w:color="auto"/>
            </w:tcBorders>
            <w:hideMark/>
          </w:tcPr>
          <w:p w14:paraId="6F973843" w14:textId="05E3A90A" w:rsidR="00087876" w:rsidRPr="00640549" w:rsidRDefault="0002780E" w:rsidP="00C46225">
            <w:pPr>
              <w:spacing w:before="60" w:after="60"/>
              <w:rPr>
                <w:bCs/>
                <w:kern w:val="32"/>
                <w:lang w:val="en-US" w:eastAsia="de-DE"/>
              </w:rPr>
            </w:pPr>
            <w:r>
              <w:rPr>
                <w:bCs/>
                <w:noProof/>
                <w:kern w:val="32"/>
                <w:lang w:val="en-US" w:eastAsia="de-DE"/>
              </w:rPr>
              <w:drawing>
                <wp:inline distT="0" distB="0" distL="0" distR="0" wp14:anchorId="49376DCC" wp14:editId="2EC48187">
                  <wp:extent cx="2624688" cy="1644138"/>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4493" cy="1662808"/>
                          </a:xfrm>
                          <a:prstGeom prst="rect">
                            <a:avLst/>
                          </a:prstGeom>
                          <a:noFill/>
                        </pic:spPr>
                      </pic:pic>
                    </a:graphicData>
                  </a:graphic>
                </wp:inline>
              </w:drawing>
            </w:r>
          </w:p>
        </w:tc>
      </w:tr>
      <w:tr w:rsidR="0002780E" w:rsidRPr="0002780E" w14:paraId="363E4F68" w14:textId="77777777" w:rsidTr="00E458A6">
        <w:tc>
          <w:tcPr>
            <w:tcW w:w="4576" w:type="dxa"/>
            <w:tcBorders>
              <w:top w:val="single" w:sz="4" w:space="0" w:color="auto"/>
              <w:left w:val="single" w:sz="4" w:space="0" w:color="auto"/>
              <w:bottom w:val="single" w:sz="4" w:space="0" w:color="auto"/>
              <w:right w:val="single" w:sz="4" w:space="0" w:color="auto"/>
            </w:tcBorders>
            <w:hideMark/>
          </w:tcPr>
          <w:p w14:paraId="64CDA5BF" w14:textId="6B44C821" w:rsidR="00087876" w:rsidRPr="00640549" w:rsidRDefault="00087876" w:rsidP="00C46225">
            <w:pPr>
              <w:spacing w:before="60" w:after="60"/>
              <w:rPr>
                <w:rFonts w:cs="Arial"/>
                <w:bCs/>
                <w:kern w:val="32"/>
                <w:sz w:val="18"/>
                <w:szCs w:val="18"/>
                <w:lang w:val="en-US" w:eastAsia="de-DE"/>
              </w:rPr>
            </w:pPr>
            <w:r w:rsidRPr="00640549">
              <w:rPr>
                <w:rFonts w:cs="Arial"/>
                <w:spacing w:val="-3"/>
                <w:sz w:val="18"/>
                <w:szCs w:val="18"/>
                <w:lang w:val="en-US" w:eastAsia="de-DE"/>
              </w:rPr>
              <w:t xml:space="preserve">Fig. 1. </w:t>
            </w:r>
            <w:r w:rsidR="00A31962" w:rsidRPr="00640549">
              <w:rPr>
                <w:rFonts w:cs="Arial"/>
                <w:spacing w:val="-3"/>
                <w:sz w:val="18"/>
                <w:szCs w:val="18"/>
                <w:lang w:val="en-US" w:eastAsia="de-DE"/>
              </w:rPr>
              <w:t>Monthly</w:t>
            </w:r>
            <w:r w:rsidR="0080158F" w:rsidRPr="00640549">
              <w:rPr>
                <w:rFonts w:cs="Arial"/>
                <w:spacing w:val="-3"/>
                <w:sz w:val="18"/>
                <w:szCs w:val="18"/>
                <w:lang w:val="en-US" w:eastAsia="de-DE"/>
              </w:rPr>
              <w:t xml:space="preserve"> </w:t>
            </w:r>
            <w:r w:rsidRPr="00640549">
              <w:rPr>
                <w:rFonts w:cs="Arial"/>
                <w:spacing w:val="-3"/>
                <w:sz w:val="18"/>
                <w:szCs w:val="18"/>
                <w:lang w:val="en-US" w:eastAsia="de-DE"/>
              </w:rPr>
              <w:t xml:space="preserve">electricity </w:t>
            </w:r>
            <w:r w:rsidR="00A31962" w:rsidRPr="00640549">
              <w:rPr>
                <w:rFonts w:cs="Arial"/>
                <w:spacing w:val="-3"/>
                <w:sz w:val="18"/>
                <w:szCs w:val="18"/>
                <w:lang w:val="en-US" w:eastAsia="de-DE"/>
              </w:rPr>
              <w:t>generation from variable RES and the respective load</w:t>
            </w:r>
            <w:r w:rsidRPr="00640549">
              <w:rPr>
                <w:rFonts w:cs="Arial"/>
                <w:spacing w:val="-3"/>
                <w:sz w:val="18"/>
                <w:szCs w:val="18"/>
                <w:lang w:val="en-US" w:eastAsia="de-DE"/>
              </w:rPr>
              <w:t xml:space="preserve"> in 2030 </w:t>
            </w:r>
            <w:r w:rsidR="00A31962" w:rsidRPr="00640549">
              <w:rPr>
                <w:rFonts w:cs="Arial"/>
                <w:spacing w:val="-3"/>
                <w:sz w:val="18"/>
                <w:szCs w:val="18"/>
                <w:lang w:val="en-US" w:eastAsia="de-DE"/>
              </w:rPr>
              <w:t>for the example of</w:t>
            </w:r>
            <w:r w:rsidR="0080158F" w:rsidRPr="00640549">
              <w:rPr>
                <w:rFonts w:cs="Arial"/>
                <w:spacing w:val="-3"/>
                <w:sz w:val="18"/>
                <w:szCs w:val="18"/>
                <w:lang w:val="en-US" w:eastAsia="de-DE"/>
              </w:rPr>
              <w:t xml:space="preserve"> Austria according to EAG targets</w:t>
            </w:r>
          </w:p>
        </w:tc>
        <w:tc>
          <w:tcPr>
            <w:tcW w:w="4486" w:type="dxa"/>
            <w:tcBorders>
              <w:top w:val="single" w:sz="4" w:space="0" w:color="auto"/>
              <w:left w:val="single" w:sz="4" w:space="0" w:color="auto"/>
              <w:bottom w:val="single" w:sz="4" w:space="0" w:color="auto"/>
              <w:right w:val="single" w:sz="4" w:space="0" w:color="auto"/>
            </w:tcBorders>
            <w:hideMark/>
          </w:tcPr>
          <w:p w14:paraId="405C7697" w14:textId="4B6469C5" w:rsidR="00087876" w:rsidRPr="00640549" w:rsidRDefault="00087876" w:rsidP="00C46225">
            <w:pPr>
              <w:spacing w:before="60" w:after="60"/>
              <w:rPr>
                <w:bCs/>
                <w:kern w:val="32"/>
                <w:szCs w:val="20"/>
                <w:lang w:val="en-US" w:eastAsia="de-DE"/>
              </w:rPr>
            </w:pPr>
            <w:r w:rsidRPr="00640549">
              <w:rPr>
                <w:rFonts w:cs="Arial"/>
                <w:spacing w:val="-3"/>
                <w:sz w:val="18"/>
                <w:szCs w:val="18"/>
                <w:lang w:val="en-US" w:eastAsia="de-DE"/>
              </w:rPr>
              <w:t xml:space="preserve">Fig. 2. </w:t>
            </w:r>
            <w:r w:rsidR="0080158F" w:rsidRPr="00640549">
              <w:rPr>
                <w:rFonts w:cs="Arial"/>
                <w:spacing w:val="-3"/>
                <w:sz w:val="18"/>
                <w:szCs w:val="18"/>
                <w:lang w:val="en-US" w:eastAsia="de-DE"/>
              </w:rPr>
              <w:t>Efficiencies of hydrogen storage and r</w:t>
            </w:r>
            <w:r w:rsidRPr="00640549">
              <w:rPr>
                <w:rFonts w:cs="Arial"/>
                <w:spacing w:val="-3"/>
                <w:sz w:val="18"/>
                <w:szCs w:val="18"/>
                <w:lang w:val="en-US" w:eastAsia="de-DE"/>
              </w:rPr>
              <w:t xml:space="preserve">e-electrification </w:t>
            </w:r>
          </w:p>
        </w:tc>
      </w:tr>
    </w:tbl>
    <w:p w14:paraId="265D0DDD" w14:textId="77777777" w:rsidR="0089607C" w:rsidRPr="00640549" w:rsidRDefault="0089607C" w:rsidP="0089607C">
      <w:pPr>
        <w:rPr>
          <w:lang w:val="en-US"/>
        </w:rPr>
      </w:pPr>
    </w:p>
    <w:p w14:paraId="669161F1" w14:textId="1ED42DD4" w:rsidR="00A31962" w:rsidRPr="00640549" w:rsidRDefault="00807833" w:rsidP="00A747D3">
      <w:pPr>
        <w:pStyle w:val="Ueberschrift"/>
        <w:rPr>
          <w:lang w:val="en-US"/>
        </w:rPr>
      </w:pPr>
      <w:r w:rsidRPr="00640549">
        <w:rPr>
          <w:lang w:val="en-US"/>
        </w:rPr>
        <w:t>Methodology</w:t>
      </w:r>
    </w:p>
    <w:p w14:paraId="0D84E21F" w14:textId="2A519C2D" w:rsidR="00A31962" w:rsidRPr="00640549" w:rsidRDefault="00A31962" w:rsidP="00A31962">
      <w:pPr>
        <w:rPr>
          <w:lang w:val="en-US"/>
        </w:rPr>
      </w:pPr>
      <w:r w:rsidRPr="00640549">
        <w:rPr>
          <w:lang w:val="en-US"/>
        </w:rPr>
        <w:t>Our approach is based on: (i) a</w:t>
      </w:r>
      <w:r w:rsidR="00A747D3" w:rsidRPr="00640549">
        <w:rPr>
          <w:lang w:val="en-US"/>
        </w:rPr>
        <w:t>n</w:t>
      </w:r>
      <w:r w:rsidRPr="00640549">
        <w:rPr>
          <w:lang w:val="en-US"/>
        </w:rPr>
        <w:t xml:space="preserve"> </w:t>
      </w:r>
      <w:r w:rsidR="00A747D3" w:rsidRPr="00640549">
        <w:rPr>
          <w:lang w:val="en-US"/>
        </w:rPr>
        <w:t xml:space="preserve">hourly </w:t>
      </w:r>
      <w:r w:rsidRPr="00640549">
        <w:rPr>
          <w:lang w:val="en-US"/>
        </w:rPr>
        <w:t xml:space="preserve">model of the Austrian </w:t>
      </w:r>
      <w:r w:rsidR="00A747D3" w:rsidRPr="00640549">
        <w:rPr>
          <w:lang w:val="en-US"/>
        </w:rPr>
        <w:t>electricity</w:t>
      </w:r>
      <w:r w:rsidRPr="00640549">
        <w:rPr>
          <w:lang w:val="en-US"/>
        </w:rPr>
        <w:t xml:space="preserve"> system </w:t>
      </w:r>
      <w:r w:rsidR="00A747D3" w:rsidRPr="00640549">
        <w:rPr>
          <w:lang w:val="en-US"/>
        </w:rPr>
        <w:t>for different renewable expansion targets and demand scenarios</w:t>
      </w:r>
      <w:r w:rsidR="005D6221" w:rsidRPr="00640549">
        <w:rPr>
          <w:lang w:val="en-US"/>
        </w:rPr>
        <w:t>;</w:t>
      </w:r>
      <w:r w:rsidRPr="00640549">
        <w:rPr>
          <w:lang w:val="en-US"/>
        </w:rPr>
        <w:t xml:space="preserve"> (ii) an</w:t>
      </w:r>
      <w:r w:rsidR="00A747D3" w:rsidRPr="00640549">
        <w:rPr>
          <w:lang w:val="en-US"/>
        </w:rPr>
        <w:t xml:space="preserve"> analysis of the </w:t>
      </w:r>
      <w:r w:rsidR="005D6221" w:rsidRPr="00640549">
        <w:rPr>
          <w:lang w:val="en-US"/>
        </w:rPr>
        <w:t xml:space="preserve">residual hourly load and hence required storage capacity </w:t>
      </w:r>
      <w:r w:rsidR="00EB5886">
        <w:rPr>
          <w:lang w:val="en-US"/>
        </w:rPr>
        <w:t xml:space="preserve">and possible surplus renewable electricity </w:t>
      </w:r>
      <w:r w:rsidR="005D6221" w:rsidRPr="00640549">
        <w:rPr>
          <w:lang w:val="en-US"/>
        </w:rPr>
        <w:t xml:space="preserve">over a calendar year resulting from the defined generation and demand scenarios, see Figure 3 and 4; </w:t>
      </w:r>
      <w:r w:rsidRPr="00640549">
        <w:rPr>
          <w:lang w:val="en-US"/>
        </w:rPr>
        <w:t xml:space="preserve">(iii) a </w:t>
      </w:r>
      <w:r w:rsidR="00A747D3" w:rsidRPr="00640549">
        <w:rPr>
          <w:lang w:val="en-US"/>
        </w:rPr>
        <w:t>literature review on techno-economic analysis of hydrogen storage</w:t>
      </w:r>
      <w:r w:rsidR="005D6221" w:rsidRPr="00640549">
        <w:rPr>
          <w:lang w:val="en-US"/>
        </w:rPr>
        <w:t xml:space="preserve"> including efficiencies analysis of the storage chain. </w:t>
      </w:r>
    </w:p>
    <w:p w14:paraId="7F37ECC9" w14:textId="4B890891" w:rsidR="00A747D3" w:rsidRPr="00640549" w:rsidRDefault="00A747D3" w:rsidP="00A747D3">
      <w:pPr>
        <w:rPr>
          <w:lang w:val="en-US"/>
        </w:rPr>
      </w:pPr>
    </w:p>
    <w:p w14:paraId="74519640" w14:textId="77777777" w:rsidR="00640549" w:rsidRPr="00640549" w:rsidRDefault="00C62F8F" w:rsidP="00640549">
      <w:pPr>
        <w:spacing w:after="200" w:line="276" w:lineRule="auto"/>
        <w:rPr>
          <w:rFonts w:ascii="Times New Roman" w:eastAsia="Calibri" w:hAnsi="Times New Roman"/>
          <w:szCs w:val="20"/>
          <w:lang w:val="en-US" w:eastAsia="en-US"/>
        </w:rPr>
      </w:pPr>
      <m:oMath>
        <m:func>
          <m:funcPr>
            <m:ctrlPr>
              <w:rPr>
                <w:rFonts w:ascii="Cambria Math" w:eastAsia="Calibri" w:hAnsi="Cambria Math"/>
                <w:i/>
                <w:iCs/>
                <w:szCs w:val="20"/>
                <w:lang w:val="en-US" w:eastAsia="en-US"/>
              </w:rPr>
            </m:ctrlPr>
          </m:funcPr>
          <m:fName>
            <m:r>
              <m:rPr>
                <m:sty m:val="p"/>
              </m:rPr>
              <w:rPr>
                <w:rFonts w:ascii="Cambria Math" w:eastAsia="Calibri" w:hAnsi="Cambria Math"/>
                <w:szCs w:val="20"/>
                <w:lang w:val="en-US" w:eastAsia="en-US"/>
              </w:rPr>
              <m:t>min</m:t>
            </m:r>
          </m:fName>
          <m:e>
            <m:nary>
              <m:naryPr>
                <m:chr m:val="∑"/>
                <m:ctrlPr>
                  <w:rPr>
                    <w:rFonts w:ascii="Cambria Math" w:eastAsia="Calibri" w:hAnsi="Cambria Math"/>
                    <w:i/>
                    <w:iCs/>
                    <w:szCs w:val="20"/>
                    <w:lang w:val="en-US" w:eastAsia="en-US"/>
                  </w:rPr>
                </m:ctrlPr>
              </m:naryPr>
              <m:sub>
                <m:r>
                  <m:rPr>
                    <m:sty m:val="p"/>
                  </m:rPr>
                  <w:rPr>
                    <w:rFonts w:ascii="Cambria Math" w:eastAsia="Calibri" w:hAnsi="Cambria Math"/>
                    <w:szCs w:val="20"/>
                    <w:lang w:val="en-US" w:eastAsia="en-US"/>
                  </w:rPr>
                  <m:t>t=1</m:t>
                </m:r>
              </m:sub>
              <m:sup>
                <m:r>
                  <m:rPr>
                    <m:sty m:val="p"/>
                  </m:rPr>
                  <w:rPr>
                    <w:rFonts w:ascii="Cambria Math" w:eastAsia="Calibri" w:hAnsi="Cambria Math"/>
                    <w:szCs w:val="20"/>
                    <w:lang w:val="en-US" w:eastAsia="en-US"/>
                  </w:rPr>
                  <m:t>8760</m:t>
                </m:r>
              </m:sup>
              <m:e>
                <m:sSub>
                  <m:sSubPr>
                    <m:ctrlPr>
                      <w:rPr>
                        <w:rFonts w:ascii="Cambria Math" w:eastAsia="Calibri" w:hAnsi="Cambria Math"/>
                        <w:i/>
                        <w:iCs/>
                        <w:szCs w:val="20"/>
                        <w:lang w:val="en-US" w:eastAsia="en-US"/>
                      </w:rPr>
                    </m:ctrlPr>
                  </m:sSubPr>
                  <m:e>
                    <m:r>
                      <m:rPr>
                        <m:sty m:val="p"/>
                      </m:rPr>
                      <w:rPr>
                        <w:rFonts w:ascii="Cambria Math" w:eastAsia="Calibri" w:hAnsi="Cambria Math"/>
                        <w:szCs w:val="20"/>
                        <w:lang w:val="en-US" w:eastAsia="en-US"/>
                      </w:rPr>
                      <m:t>P</m:t>
                    </m:r>
                  </m:e>
                  <m:sub>
                    <m:r>
                      <m:rPr>
                        <m:sty m:val="p"/>
                      </m:rPr>
                      <w:rPr>
                        <w:rFonts w:ascii="Cambria Math" w:eastAsia="Calibri" w:hAnsi="Cambria Math"/>
                        <w:szCs w:val="20"/>
                        <w:lang w:val="en-US" w:eastAsia="en-US"/>
                      </w:rPr>
                      <m:t>i/j </m:t>
                    </m:r>
                  </m:sub>
                </m:sSub>
                <m:r>
                  <m:rPr>
                    <m:sty m:val="p"/>
                  </m:rPr>
                  <w:rPr>
                    <w:rFonts w:ascii="Cambria Math" w:eastAsia="Calibri" w:hAnsi="Cambria Math"/>
                    <w:szCs w:val="20"/>
                    <w:lang w:val="en-US" w:eastAsia="en-US"/>
                  </w:rPr>
                  <m:t>(t)</m:t>
                </m:r>
                <m:r>
                  <w:rPr>
                    <w:rFonts w:ascii="Cambria Math" w:eastAsia="Calibri" w:hAnsi="Cambria Math"/>
                    <w:szCs w:val="20"/>
                    <w:lang w:val="en-US" w:eastAsia="en-US"/>
                  </w:rPr>
                  <m:t>*</m:t>
                </m:r>
                <m:sSub>
                  <m:sSubPr>
                    <m:ctrlPr>
                      <w:rPr>
                        <w:rFonts w:ascii="Cambria Math" w:eastAsia="Calibri" w:hAnsi="Cambria Math"/>
                        <w:i/>
                        <w:iCs/>
                        <w:szCs w:val="20"/>
                        <w:lang w:val="en-US" w:eastAsia="en-US"/>
                      </w:rPr>
                    </m:ctrlPr>
                  </m:sSubPr>
                  <m:e>
                    <m:r>
                      <m:rPr>
                        <m:sty m:val="p"/>
                      </m:rPr>
                      <w:rPr>
                        <w:rFonts w:ascii="Cambria Math" w:eastAsia="Calibri" w:hAnsi="Cambria Math"/>
                        <w:szCs w:val="20"/>
                        <w:lang w:val="en-US" w:eastAsia="en-US"/>
                      </w:rPr>
                      <m:t>c</m:t>
                    </m:r>
                  </m:e>
                  <m:sub>
                    <m:r>
                      <m:rPr>
                        <m:sty m:val="p"/>
                      </m:rPr>
                      <w:rPr>
                        <w:rFonts w:ascii="Cambria Math" w:eastAsia="Calibri" w:hAnsi="Cambria Math"/>
                        <w:szCs w:val="20"/>
                        <w:lang w:val="en-US" w:eastAsia="en-US"/>
                      </w:rPr>
                      <m:t>i/j</m:t>
                    </m:r>
                  </m:sub>
                </m:sSub>
              </m:e>
            </m:nary>
          </m:e>
        </m:func>
        <m:r>
          <m:rPr>
            <m:sty m:val="p"/>
          </m:rPr>
          <w:rPr>
            <w:rFonts w:ascii="Cambria Math" w:eastAsia="Calibri" w:hAnsi="Cambria Math"/>
            <w:szCs w:val="20"/>
            <w:lang w:val="en-US" w:eastAsia="en-US"/>
          </w:rPr>
          <m:t>(t)</m:t>
        </m:r>
      </m:oMath>
      <w:r w:rsidR="00640549" w:rsidRPr="0080158F">
        <w:rPr>
          <w:rFonts w:ascii="Times New Roman" w:eastAsia="Calibri" w:hAnsi="Times New Roman"/>
          <w:szCs w:val="20"/>
          <w:lang w:val="en-US" w:eastAsia="en-US"/>
        </w:rPr>
        <w:tab/>
      </w:r>
      <w:r w:rsidR="00640549" w:rsidRPr="00640549">
        <w:rPr>
          <w:rFonts w:ascii="Times New Roman" w:eastAsia="Calibri" w:hAnsi="Times New Roman"/>
          <w:szCs w:val="20"/>
          <w:lang w:val="en-US" w:eastAsia="en-US"/>
        </w:rPr>
        <w:tab/>
      </w:r>
      <w:r w:rsidR="00640549" w:rsidRPr="0080158F">
        <w:rPr>
          <w:lang w:val="en-US"/>
        </w:rPr>
        <w:t xml:space="preserve">(€)  </w:t>
      </w:r>
      <w:r w:rsidR="00640549" w:rsidRPr="0080158F">
        <w:rPr>
          <w:lang w:val="en-US"/>
        </w:rPr>
        <w:tab/>
      </w:r>
      <w:r w:rsidR="00640549" w:rsidRPr="0080158F">
        <w:rPr>
          <w:lang w:val="en-US"/>
        </w:rPr>
        <w:tab/>
      </w:r>
      <w:r w:rsidR="00640549" w:rsidRPr="0080158F">
        <w:rPr>
          <w:lang w:val="en-US"/>
        </w:rPr>
        <w:tab/>
      </w:r>
      <w:r w:rsidR="00640549" w:rsidRPr="0080158F">
        <w:rPr>
          <w:lang w:val="en-US"/>
        </w:rPr>
        <w:tab/>
      </w:r>
      <w:r w:rsidR="00640549" w:rsidRPr="0080158F">
        <w:rPr>
          <w:lang w:val="en-US"/>
        </w:rPr>
        <w:tab/>
      </w:r>
      <w:r w:rsidR="00640549" w:rsidRPr="0080158F">
        <w:rPr>
          <w:lang w:val="en-US"/>
        </w:rPr>
        <w:tab/>
      </w:r>
      <w:r w:rsidR="00640549" w:rsidRPr="00640549">
        <w:rPr>
          <w:lang w:val="en-US"/>
        </w:rPr>
        <w:tab/>
      </w:r>
      <w:r w:rsidR="00640549" w:rsidRPr="0080158F">
        <w:rPr>
          <w:lang w:val="en-US"/>
        </w:rPr>
        <w:tab/>
        <w:t>(1)</w:t>
      </w:r>
      <w:r w:rsidR="00640549" w:rsidRPr="0080158F">
        <w:rPr>
          <w:rFonts w:ascii="Times New Roman" w:eastAsia="Calibri" w:hAnsi="Times New Roman"/>
          <w:szCs w:val="20"/>
          <w:lang w:val="en-US" w:eastAsia="en-US"/>
        </w:rPr>
        <w:t xml:space="preserve"> </w:t>
      </w:r>
    </w:p>
    <w:p w14:paraId="78FE1C31" w14:textId="77777777" w:rsidR="00640549" w:rsidRPr="00640549" w:rsidRDefault="00640549" w:rsidP="00640549">
      <w:pPr>
        <w:rPr>
          <w:lang w:val="en-US"/>
        </w:rPr>
      </w:pPr>
      <w:r w:rsidRPr="00640549">
        <w:rPr>
          <w:lang w:val="en-US"/>
        </w:rPr>
        <w:t>with</w:t>
      </w:r>
    </w:p>
    <w:p w14:paraId="478C893F" w14:textId="77777777" w:rsidR="00640549" w:rsidRPr="005D6221" w:rsidRDefault="00640549" w:rsidP="00640549">
      <w:pPr>
        <w:rPr>
          <w:lang w:val="en-US"/>
        </w:rPr>
      </w:pPr>
      <w:r w:rsidRPr="00640549">
        <w:rPr>
          <w:lang w:val="en-US"/>
        </w:rPr>
        <w:t>P</w:t>
      </w:r>
      <w:r w:rsidRPr="00640549">
        <w:rPr>
          <w:lang w:val="en-US"/>
        </w:rPr>
        <w:tab/>
      </w:r>
      <w:r w:rsidRPr="005D6221">
        <w:rPr>
          <w:rFonts w:cs="Arial"/>
          <w:lang w:val="en-US"/>
        </w:rPr>
        <w:t xml:space="preserve">Power plant capacity </w:t>
      </w:r>
      <w:r w:rsidRPr="005D6221">
        <w:rPr>
          <w:rFonts w:cs="Arial"/>
          <w:lang w:val="en-US"/>
        </w:rPr>
        <w:tab/>
        <w:t>(MW)</w:t>
      </w:r>
      <w:r w:rsidRPr="00640549">
        <w:rPr>
          <w:lang w:val="en-US"/>
        </w:rPr>
        <w:tab/>
      </w:r>
      <w:r w:rsidRPr="00640549">
        <w:rPr>
          <w:lang w:val="en-US"/>
        </w:rPr>
        <w:tab/>
      </w:r>
      <w:r w:rsidRPr="00640549">
        <w:rPr>
          <w:lang w:val="en-US"/>
        </w:rPr>
        <w:tab/>
      </w:r>
      <w:r w:rsidRPr="005D6221">
        <w:rPr>
          <w:lang w:val="en-US"/>
        </w:rPr>
        <w:t>i</w:t>
      </w:r>
      <w:r w:rsidRPr="005D6221">
        <w:rPr>
          <w:lang w:val="en-US"/>
        </w:rPr>
        <w:tab/>
        <w:t xml:space="preserve">Power plant </w:t>
      </w:r>
    </w:p>
    <w:p w14:paraId="757A230E" w14:textId="77777777" w:rsidR="00640549" w:rsidRPr="005D6221" w:rsidRDefault="00640549" w:rsidP="00640549">
      <w:pPr>
        <w:rPr>
          <w:lang w:val="en-US"/>
        </w:rPr>
      </w:pPr>
      <w:r w:rsidRPr="005D6221">
        <w:rPr>
          <w:lang w:val="en-US"/>
        </w:rPr>
        <w:t>j</w:t>
      </w:r>
      <w:r w:rsidRPr="005D6221">
        <w:rPr>
          <w:lang w:val="en-US"/>
        </w:rPr>
        <w:tab/>
        <w:t xml:space="preserve">Storage plant </w:t>
      </w:r>
      <w:r w:rsidRPr="00640549">
        <w:rPr>
          <w:lang w:val="en-US"/>
        </w:rPr>
        <w:tab/>
      </w:r>
      <w:r w:rsidRPr="00640549">
        <w:rPr>
          <w:lang w:val="en-US"/>
        </w:rPr>
        <w:tab/>
      </w:r>
      <w:r w:rsidRPr="00640549">
        <w:rPr>
          <w:lang w:val="en-US"/>
        </w:rPr>
        <w:tab/>
      </w:r>
      <w:r w:rsidRPr="00640549">
        <w:rPr>
          <w:lang w:val="en-US"/>
        </w:rPr>
        <w:tab/>
      </w:r>
      <w:r w:rsidRPr="00640549">
        <w:rPr>
          <w:lang w:val="en-US"/>
        </w:rPr>
        <w:tab/>
      </w:r>
      <w:r w:rsidRPr="005D6221">
        <w:rPr>
          <w:lang w:val="en-US"/>
        </w:rPr>
        <w:t>t</w:t>
      </w:r>
      <w:r w:rsidRPr="005D6221">
        <w:rPr>
          <w:lang w:val="en-US"/>
        </w:rPr>
        <w:tab/>
        <w:t xml:space="preserve">Point in time </w:t>
      </w:r>
    </w:p>
    <w:p w14:paraId="699FC2E0" w14:textId="77777777" w:rsidR="00640549" w:rsidRPr="0080158F" w:rsidRDefault="00640549" w:rsidP="00640549">
      <w:pPr>
        <w:rPr>
          <w:lang w:val="en-US"/>
        </w:rPr>
      </w:pPr>
      <w:r w:rsidRPr="005D6221">
        <w:rPr>
          <w:lang w:val="en-US"/>
        </w:rPr>
        <w:t>X</w:t>
      </w:r>
      <w:r w:rsidRPr="005D6221">
        <w:rPr>
          <w:lang w:val="en-US"/>
        </w:rPr>
        <w:tab/>
        <w:t xml:space="preserve">Climate year (X=1:3), 3 years </w:t>
      </w:r>
      <w:r w:rsidRPr="00640549">
        <w:rPr>
          <w:lang w:val="en-US"/>
        </w:rPr>
        <w:tab/>
      </w:r>
      <w:r w:rsidRPr="00640549">
        <w:rPr>
          <w:lang w:val="en-US"/>
        </w:rPr>
        <w:tab/>
      </w:r>
      <w:r w:rsidRPr="00640549">
        <w:rPr>
          <w:lang w:val="en-US"/>
        </w:rPr>
        <w:tab/>
        <w:t>c</w:t>
      </w:r>
      <w:r w:rsidRPr="00640549">
        <w:rPr>
          <w:lang w:val="en-US"/>
        </w:rPr>
        <w:tab/>
        <w:t>Variable cost (€/MW)</w:t>
      </w:r>
    </w:p>
    <w:p w14:paraId="3103EFB5" w14:textId="77777777" w:rsidR="00640549" w:rsidRPr="005D6221" w:rsidRDefault="00640549" w:rsidP="00640549">
      <w:pPr>
        <w:rPr>
          <w:lang w:val="en-US"/>
        </w:rPr>
      </w:pPr>
    </w:p>
    <w:p w14:paraId="7F0FAE8B" w14:textId="77777777" w:rsidR="00640549" w:rsidRPr="0080158F" w:rsidRDefault="00640549" w:rsidP="00640549">
      <w:pPr>
        <w:rPr>
          <w:lang w:val="en-US"/>
        </w:rPr>
      </w:pPr>
      <w:r w:rsidRPr="0080158F">
        <w:rPr>
          <w:lang w:val="en-US"/>
        </w:rPr>
        <w:t>subject to</w:t>
      </w:r>
    </w:p>
    <w:p w14:paraId="17A808C1" w14:textId="77777777" w:rsidR="00640549" w:rsidRPr="00640549" w:rsidRDefault="00C62F8F" w:rsidP="00640549">
      <w:pPr>
        <w:spacing w:after="200" w:line="276" w:lineRule="auto"/>
        <w:jc w:val="left"/>
        <w:rPr>
          <w:lang w:val="en-US"/>
        </w:rPr>
      </w:pPr>
      <m:oMath>
        <m:sSub>
          <m:sSubPr>
            <m:ctrlPr>
              <w:rPr>
                <w:rFonts w:ascii="Cambria Math" w:eastAsia="Calibri" w:hAnsi="Cambria Math"/>
                <w:i/>
                <w:iCs/>
                <w:szCs w:val="20"/>
                <w:lang w:val="en-US" w:eastAsia="en-US"/>
              </w:rPr>
            </m:ctrlPr>
          </m:sSubPr>
          <m:e>
            <m:r>
              <w:rPr>
                <w:rFonts w:ascii="Cambria Math" w:eastAsia="Calibri" w:hAnsi="Cambria Math"/>
                <w:szCs w:val="20"/>
                <w:lang w:val="en-US" w:eastAsia="en-US"/>
              </w:rPr>
              <m:t>P</m:t>
            </m:r>
          </m:e>
          <m:sub>
            <m:r>
              <w:rPr>
                <w:rFonts w:ascii="Cambria Math" w:eastAsia="Calibri" w:hAnsi="Cambria Math"/>
                <w:szCs w:val="20"/>
                <w:lang w:val="en-US" w:eastAsia="en-US"/>
              </w:rPr>
              <m:t>total</m:t>
            </m:r>
          </m:sub>
        </m:sSub>
        <m:r>
          <m:rPr>
            <m:sty m:val="p"/>
          </m:rPr>
          <w:rPr>
            <w:rFonts w:ascii="Cambria Math" w:eastAsia="Calibri" w:hAnsi="Cambria Math"/>
            <w:szCs w:val="20"/>
            <w:lang w:val="en-US" w:eastAsia="en-US"/>
          </w:rPr>
          <m:t>(t)=</m:t>
        </m:r>
        <m:r>
          <w:rPr>
            <w:rFonts w:ascii="Cambria Math" w:eastAsia="Calibri" w:hAnsi="Cambria Math"/>
            <w:szCs w:val="20"/>
            <w:lang w:val="en-US" w:eastAsia="en-US"/>
          </w:rPr>
          <m:t> </m:t>
        </m:r>
        <m:sSub>
          <m:sSubPr>
            <m:ctrlPr>
              <w:rPr>
                <w:rFonts w:ascii="Cambria Math" w:eastAsia="Calibri" w:hAnsi="Cambria Math"/>
                <w:i/>
                <w:iCs/>
                <w:szCs w:val="20"/>
                <w:lang w:val="en-US" w:eastAsia="en-US"/>
              </w:rPr>
            </m:ctrlPr>
          </m:sSubPr>
          <m:e>
            <m:r>
              <w:rPr>
                <w:rFonts w:ascii="Cambria Math" w:eastAsia="Calibri" w:hAnsi="Cambria Math"/>
                <w:szCs w:val="20"/>
                <w:lang w:val="en-US" w:eastAsia="en-US"/>
              </w:rPr>
              <m:t>P</m:t>
            </m:r>
          </m:e>
          <m:sub>
            <m:r>
              <w:rPr>
                <w:rFonts w:ascii="Cambria Math" w:eastAsia="Calibri" w:hAnsi="Cambria Math"/>
                <w:szCs w:val="20"/>
                <w:lang w:val="en-US" w:eastAsia="en-US"/>
              </w:rPr>
              <m:t>RE</m:t>
            </m:r>
          </m:sub>
        </m:sSub>
        <m:r>
          <m:rPr>
            <m:sty m:val="p"/>
          </m:rPr>
          <w:rPr>
            <w:rFonts w:ascii="Cambria Math" w:eastAsia="Calibri" w:hAnsi="Cambria Math"/>
            <w:szCs w:val="20"/>
            <w:lang w:val="en-US" w:eastAsia="en-US"/>
          </w:rPr>
          <m:t>(t)</m:t>
        </m:r>
      </m:oMath>
      <w:r w:rsidR="00640549" w:rsidRPr="00640549">
        <w:rPr>
          <w:rFonts w:ascii="Times New Roman" w:eastAsia="Calibri" w:hAnsi="Times New Roman"/>
          <w:szCs w:val="20"/>
          <w:lang w:val="en-US" w:eastAsia="en-US"/>
        </w:rPr>
        <w:t xml:space="preserve"> </w:t>
      </w:r>
      <m:oMath>
        <m:sSub>
          <m:sSubPr>
            <m:ctrlPr>
              <w:rPr>
                <w:rFonts w:ascii="Cambria Math" w:eastAsia="Calibri" w:hAnsi="Cambria Math"/>
                <w:i/>
                <w:iCs/>
                <w:szCs w:val="20"/>
                <w:lang w:val="en-US" w:eastAsia="en-US"/>
              </w:rPr>
            </m:ctrlPr>
          </m:sSubPr>
          <m:e>
            <m:r>
              <w:rPr>
                <w:rFonts w:ascii="Cambria Math" w:eastAsia="Calibri" w:hAnsi="Cambria Math"/>
                <w:szCs w:val="20"/>
                <w:lang w:val="en-US" w:eastAsia="en-US"/>
              </w:rPr>
              <m:t>+ P</m:t>
            </m:r>
          </m:e>
          <m:sub>
            <m:r>
              <w:rPr>
                <w:rFonts w:ascii="Cambria Math" w:eastAsia="Calibri" w:hAnsi="Cambria Math"/>
                <w:szCs w:val="20"/>
                <w:lang w:val="en-US" w:eastAsia="en-US"/>
              </w:rPr>
              <m:t>bio</m:t>
            </m:r>
          </m:sub>
        </m:sSub>
        <m:r>
          <m:rPr>
            <m:sty m:val="p"/>
          </m:rPr>
          <w:rPr>
            <w:rFonts w:ascii="Cambria Math" w:eastAsia="Calibri" w:hAnsi="Cambria Math"/>
            <w:szCs w:val="20"/>
            <w:lang w:val="en-US" w:eastAsia="en-US"/>
          </w:rPr>
          <m:t>(t)</m:t>
        </m:r>
      </m:oMath>
      <w:r w:rsidR="00640549" w:rsidRPr="00640549">
        <w:rPr>
          <w:rFonts w:ascii="Times New Roman" w:eastAsia="Calibri" w:hAnsi="Times New Roman"/>
          <w:szCs w:val="20"/>
          <w:lang w:val="en-US" w:eastAsia="en-US"/>
        </w:rPr>
        <w:t xml:space="preserve"> </w:t>
      </w:r>
      <m:oMath>
        <m:r>
          <w:rPr>
            <w:rFonts w:ascii="Cambria Math" w:eastAsia="Calibri" w:hAnsi="Cambria Math"/>
            <w:szCs w:val="20"/>
            <w:lang w:val="en-US" w:eastAsia="en-US"/>
          </w:rPr>
          <m:t>- </m:t>
        </m:r>
        <m:sSub>
          <m:sSubPr>
            <m:ctrlPr>
              <w:rPr>
                <w:rFonts w:ascii="Cambria Math" w:eastAsia="Calibri" w:hAnsi="Cambria Math"/>
                <w:i/>
                <w:iCs/>
                <w:szCs w:val="20"/>
                <w:lang w:val="en-US" w:eastAsia="en-US"/>
              </w:rPr>
            </m:ctrlPr>
          </m:sSubPr>
          <m:e>
            <m:r>
              <w:rPr>
                <w:rFonts w:ascii="Cambria Math" w:eastAsia="Calibri" w:hAnsi="Cambria Math"/>
                <w:szCs w:val="20"/>
                <w:lang w:val="en-US" w:eastAsia="en-US"/>
              </w:rPr>
              <m:t>P</m:t>
            </m:r>
          </m:e>
          <m:sub>
            <m:r>
              <w:rPr>
                <w:rFonts w:ascii="Cambria Math" w:eastAsia="Calibri" w:hAnsi="Cambria Math"/>
                <w:szCs w:val="20"/>
                <w:lang w:val="en-US" w:eastAsia="en-US"/>
              </w:rPr>
              <m:t>pump</m:t>
            </m:r>
          </m:sub>
        </m:sSub>
        <m:r>
          <w:rPr>
            <w:rFonts w:ascii="Cambria Math" w:eastAsia="Calibri" w:hAnsi="Cambria Math"/>
            <w:szCs w:val="20"/>
            <w:lang w:val="en-US" w:eastAsia="en-US"/>
          </w:rPr>
          <m:t>(t)</m:t>
        </m:r>
      </m:oMath>
      <w:r w:rsidR="00640549" w:rsidRPr="00640549">
        <w:rPr>
          <w:rFonts w:ascii="Times New Roman" w:eastAsia="Calibri" w:hAnsi="Times New Roman"/>
          <w:szCs w:val="20"/>
          <w:lang w:val="en-US" w:eastAsia="en-US"/>
        </w:rPr>
        <w:t xml:space="preserve"> </w:t>
      </w:r>
      <m:oMath>
        <m:sSub>
          <m:sSubPr>
            <m:ctrlPr>
              <w:rPr>
                <w:rFonts w:ascii="Cambria Math" w:eastAsia="Calibri" w:hAnsi="Cambria Math"/>
                <w:i/>
                <w:iCs/>
                <w:szCs w:val="20"/>
                <w:lang w:val="en-US" w:eastAsia="en-US"/>
              </w:rPr>
            </m:ctrlPr>
          </m:sSubPr>
          <m:e>
            <m:r>
              <m:rPr>
                <m:nor/>
              </m:rPr>
              <w:rPr>
                <w:rFonts w:ascii="Times New Roman" w:eastAsia="Calibri" w:hAnsi="Times New Roman"/>
                <w:szCs w:val="20"/>
                <w:lang w:val="en-US" w:eastAsia="en-US"/>
              </w:rPr>
              <m:t>+</m:t>
            </m:r>
            <m:r>
              <m:rPr>
                <m:nor/>
              </m:rPr>
              <w:rPr>
                <w:rFonts w:ascii="Times New Roman" w:eastAsia="Calibri" w:hAnsi="Times New Roman"/>
                <w:i/>
                <w:iCs/>
                <w:szCs w:val="20"/>
                <w:lang w:val="en-US" w:eastAsia="en-US"/>
              </w:rPr>
              <m:t> </m:t>
            </m:r>
            <m:sSub>
              <m:sSubPr>
                <m:ctrlPr>
                  <w:rPr>
                    <w:rFonts w:ascii="Cambria Math" w:eastAsia="Calibri" w:hAnsi="Cambria Math"/>
                    <w:i/>
                    <w:iCs/>
                    <w:szCs w:val="20"/>
                    <w:lang w:val="en-US" w:eastAsia="en-US"/>
                  </w:rPr>
                </m:ctrlPr>
              </m:sSubPr>
              <m:e>
                <m:r>
                  <w:rPr>
                    <w:rFonts w:ascii="Cambria Math" w:eastAsia="Calibri" w:hAnsi="Cambria Math"/>
                    <w:szCs w:val="20"/>
                    <w:lang w:val="en-US" w:eastAsia="en-US"/>
                  </w:rPr>
                  <m:t>P</m:t>
                </m:r>
              </m:e>
              <m:sub>
                <m:r>
                  <w:rPr>
                    <w:rFonts w:ascii="Cambria Math" w:eastAsia="Calibri" w:hAnsi="Cambria Math"/>
                    <w:szCs w:val="20"/>
                    <w:lang w:val="en-US" w:eastAsia="en-US"/>
                  </w:rPr>
                  <m:t>turb, PSH </m:t>
                </m:r>
              </m:sub>
            </m:sSub>
            <m:r>
              <m:rPr>
                <m:sty m:val="p"/>
              </m:rPr>
              <w:rPr>
                <w:rFonts w:ascii="Cambria Math" w:eastAsia="Calibri" w:hAnsi="Cambria Math"/>
                <w:szCs w:val="20"/>
                <w:lang w:val="en-US" w:eastAsia="en-US"/>
              </w:rPr>
              <m:t>(t)</m:t>
            </m:r>
            <m:r>
              <m:rPr>
                <m:nor/>
              </m:rPr>
              <w:rPr>
                <w:rFonts w:ascii="Times New Roman" w:eastAsia="Calibri" w:hAnsi="Times New Roman"/>
                <w:szCs w:val="20"/>
                <w:lang w:val="en-US" w:eastAsia="en-US"/>
              </w:rPr>
              <m:t>+</m:t>
            </m:r>
            <m:r>
              <m:rPr>
                <m:nor/>
              </m:rPr>
              <w:rPr>
                <w:rFonts w:ascii="Times New Roman" w:eastAsia="Calibri" w:hAnsi="Times New Roman"/>
                <w:i/>
                <w:iCs/>
                <w:szCs w:val="20"/>
                <w:lang w:val="en-US" w:eastAsia="en-US"/>
              </w:rPr>
              <m:t> </m:t>
            </m:r>
            <m:sSub>
              <m:sSubPr>
                <m:ctrlPr>
                  <w:rPr>
                    <w:rFonts w:ascii="Cambria Math" w:eastAsia="Calibri" w:hAnsi="Cambria Math"/>
                    <w:i/>
                    <w:iCs/>
                    <w:szCs w:val="20"/>
                    <w:lang w:val="en-US" w:eastAsia="en-US"/>
                  </w:rPr>
                </m:ctrlPr>
              </m:sSubPr>
              <m:e>
                <m:r>
                  <w:rPr>
                    <w:rFonts w:ascii="Cambria Math" w:eastAsia="Calibri" w:hAnsi="Cambria Math"/>
                    <w:szCs w:val="20"/>
                    <w:lang w:val="en-US" w:eastAsia="en-US"/>
                  </w:rPr>
                  <m:t>P</m:t>
                </m:r>
              </m:e>
              <m:sub>
                <m:r>
                  <w:rPr>
                    <w:rFonts w:ascii="Cambria Math" w:eastAsia="Calibri" w:hAnsi="Cambria Math"/>
                    <w:szCs w:val="20"/>
                    <w:lang w:val="en-US" w:eastAsia="en-US"/>
                  </w:rPr>
                  <m:t>turb, SH</m:t>
                </m:r>
              </m:sub>
            </m:sSub>
            <m:r>
              <m:rPr>
                <m:sty m:val="p"/>
              </m:rPr>
              <w:rPr>
                <w:rFonts w:ascii="Cambria Math" w:eastAsia="Calibri" w:hAnsi="Cambria Math"/>
                <w:szCs w:val="20"/>
                <w:lang w:val="en-US" w:eastAsia="en-US"/>
              </w:rPr>
              <m:t>(t)</m:t>
            </m:r>
            <m:r>
              <w:rPr>
                <w:rFonts w:ascii="Cambria Math" w:eastAsia="Calibri" w:hAnsi="Cambria Math"/>
                <w:szCs w:val="20"/>
                <w:lang w:val="en-US" w:eastAsia="en-US"/>
              </w:rPr>
              <m:t>-</m:t>
            </m:r>
            <m:sSub>
              <m:sSubPr>
                <m:ctrlPr>
                  <w:rPr>
                    <w:rFonts w:ascii="Cambria Math" w:eastAsia="Calibri" w:hAnsi="Cambria Math"/>
                    <w:i/>
                    <w:iCs/>
                    <w:szCs w:val="20"/>
                    <w:lang w:val="en-US" w:eastAsia="en-US"/>
                  </w:rPr>
                </m:ctrlPr>
              </m:sSubPr>
              <m:e>
                <m:r>
                  <w:rPr>
                    <w:rFonts w:ascii="Cambria Math" w:eastAsia="Calibri" w:hAnsi="Cambria Math"/>
                    <w:szCs w:val="20"/>
                    <w:lang w:val="en-US" w:eastAsia="en-US"/>
                  </w:rPr>
                  <m:t>P</m:t>
                </m:r>
              </m:e>
              <m:sub>
                <m:r>
                  <w:rPr>
                    <w:rFonts w:ascii="Cambria Math" w:eastAsia="Calibri" w:hAnsi="Cambria Math"/>
                    <w:szCs w:val="20"/>
                    <w:lang w:val="en-US" w:eastAsia="en-US"/>
                  </w:rPr>
                  <m:t>P2G,H2</m:t>
                </m:r>
              </m:sub>
            </m:sSub>
            <m:r>
              <m:rPr>
                <m:sty m:val="p"/>
              </m:rPr>
              <w:rPr>
                <w:rFonts w:ascii="Cambria Math" w:eastAsia="Calibri" w:hAnsi="Cambria Math"/>
                <w:szCs w:val="20"/>
                <w:lang w:val="en-US" w:eastAsia="en-US"/>
              </w:rPr>
              <m:t>(t)</m:t>
            </m:r>
            <m:r>
              <w:rPr>
                <w:rFonts w:ascii="Cambria Math" w:eastAsia="Calibri" w:hAnsi="Cambria Math"/>
                <w:szCs w:val="20"/>
                <w:lang w:val="en-US" w:eastAsia="en-US"/>
              </w:rPr>
              <m:t>+P</m:t>
            </m:r>
          </m:e>
          <m:sub>
            <m:r>
              <m:rPr>
                <m:sty m:val="p"/>
              </m:rPr>
              <w:rPr>
                <w:rFonts w:ascii="Cambria Math" w:eastAsia="Calibri" w:hAnsi="Cambria Math"/>
                <w:szCs w:val="20"/>
                <w:lang w:val="en-US" w:eastAsia="en-US"/>
              </w:rPr>
              <m:t>CCGT</m:t>
            </m:r>
            <m:r>
              <w:rPr>
                <w:rFonts w:ascii="Cambria Math" w:eastAsia="Calibri" w:hAnsi="Cambria Math"/>
                <w:szCs w:val="20"/>
                <w:lang w:val="en-US" w:eastAsia="en-US"/>
              </w:rPr>
              <m:t>,H2</m:t>
            </m:r>
          </m:sub>
        </m:sSub>
        <m:r>
          <m:rPr>
            <m:sty m:val="p"/>
          </m:rPr>
          <w:rPr>
            <w:rFonts w:ascii="Cambria Math" w:eastAsia="Calibri" w:hAnsi="Cambria Math"/>
            <w:szCs w:val="20"/>
            <w:lang w:val="en-US" w:eastAsia="en-US"/>
          </w:rPr>
          <m:t>(t)</m:t>
        </m:r>
      </m:oMath>
      <w:r w:rsidR="00640549" w:rsidRPr="00640549">
        <w:rPr>
          <w:rFonts w:ascii="Times New Roman" w:eastAsia="Calibri" w:hAnsi="Times New Roman"/>
          <w:szCs w:val="20"/>
          <w:lang w:val="en-US" w:eastAsia="en-US"/>
        </w:rPr>
        <w:t xml:space="preserve"> </w:t>
      </w:r>
      <m:oMath>
        <m:sSub>
          <m:sSubPr>
            <m:ctrlPr>
              <w:rPr>
                <w:rFonts w:ascii="Cambria Math" w:eastAsia="Calibri" w:hAnsi="Cambria Math"/>
                <w:i/>
                <w:iCs/>
                <w:szCs w:val="20"/>
                <w:lang w:val="en-US" w:eastAsia="en-US"/>
              </w:rPr>
            </m:ctrlPr>
          </m:sSubPr>
          <m:e>
            <m:r>
              <w:rPr>
                <w:rFonts w:ascii="Cambria Math" w:eastAsia="Calibri" w:hAnsi="Cambria Math"/>
                <w:szCs w:val="20"/>
                <w:lang w:val="en-US" w:eastAsia="en-US"/>
              </w:rPr>
              <m:t>+ P</m:t>
            </m:r>
          </m:e>
          <m:sub>
            <m:r>
              <m:rPr>
                <m:sty m:val="p"/>
              </m:rPr>
              <w:rPr>
                <w:rFonts w:ascii="Cambria Math" w:eastAsia="Calibri" w:hAnsi="Cambria Math"/>
                <w:szCs w:val="20"/>
                <w:lang w:val="en-US" w:eastAsia="en-US"/>
              </w:rPr>
              <m:t>CCGT</m:t>
            </m:r>
            <m:r>
              <w:rPr>
                <w:rFonts w:ascii="Cambria Math" w:eastAsia="Calibri" w:hAnsi="Cambria Math"/>
                <w:szCs w:val="20"/>
                <w:lang w:val="en-US" w:eastAsia="en-US"/>
              </w:rPr>
              <m:t>,bio</m:t>
            </m:r>
          </m:sub>
        </m:sSub>
        <m:r>
          <m:rPr>
            <m:sty m:val="p"/>
          </m:rPr>
          <w:rPr>
            <w:rFonts w:ascii="Cambria Math" w:eastAsia="Calibri" w:hAnsi="Cambria Math"/>
            <w:szCs w:val="20"/>
            <w:lang w:val="en-US" w:eastAsia="en-US"/>
          </w:rPr>
          <m:t>(t)</m:t>
        </m:r>
        <m:r>
          <w:rPr>
            <w:rFonts w:ascii="Cambria Math" w:eastAsia="Calibri" w:hAnsi="Cambria Math"/>
            <w:szCs w:val="20"/>
            <w:lang w:val="en-US" w:eastAsia="en-US"/>
          </w:rPr>
          <m:t> -</m:t>
        </m:r>
      </m:oMath>
      <w:r w:rsidR="00640549" w:rsidRPr="00640549">
        <w:rPr>
          <w:rFonts w:ascii="Times New Roman" w:eastAsia="Calibri" w:hAnsi="Times New Roman"/>
          <w:szCs w:val="20"/>
          <w:lang w:val="en-US" w:eastAsia="en-US"/>
        </w:rPr>
        <w:t xml:space="preserve">  </w:t>
      </w:r>
      <m:oMath>
        <m:sSub>
          <m:sSubPr>
            <m:ctrlPr>
              <w:rPr>
                <w:rFonts w:ascii="Cambria Math" w:eastAsia="Calibri" w:hAnsi="Cambria Math"/>
                <w:i/>
                <w:iCs/>
                <w:szCs w:val="20"/>
                <w:lang w:val="en-US" w:eastAsia="en-US"/>
              </w:rPr>
            </m:ctrlPr>
          </m:sSubPr>
          <m:e>
            <m:r>
              <w:rPr>
                <w:rFonts w:ascii="Cambria Math" w:eastAsia="Calibri" w:hAnsi="Cambria Math"/>
                <w:szCs w:val="20"/>
                <w:lang w:val="en-US" w:eastAsia="en-US"/>
              </w:rPr>
              <m:t>P</m:t>
            </m:r>
          </m:e>
          <m:sub>
            <m:r>
              <w:rPr>
                <w:rFonts w:ascii="Cambria Math" w:eastAsia="Calibri" w:hAnsi="Cambria Math"/>
                <w:szCs w:val="20"/>
                <w:lang w:val="en-US" w:eastAsia="en-US"/>
              </w:rPr>
              <m:t>export</m:t>
            </m:r>
          </m:sub>
        </m:sSub>
        <m:r>
          <m:rPr>
            <m:sty m:val="p"/>
          </m:rPr>
          <w:rPr>
            <w:rFonts w:ascii="Cambria Math" w:eastAsia="Calibri" w:hAnsi="Cambria Math"/>
            <w:szCs w:val="20"/>
            <w:lang w:val="en-US" w:eastAsia="en-US"/>
          </w:rPr>
          <m:t>(t)</m:t>
        </m:r>
      </m:oMath>
      <w:r w:rsidR="00640549" w:rsidRPr="00640549">
        <w:rPr>
          <w:rFonts w:ascii="Times New Roman" w:eastAsia="Calibri" w:hAnsi="Times New Roman"/>
          <w:szCs w:val="20"/>
          <w:lang w:val="en-US" w:eastAsia="en-US"/>
        </w:rPr>
        <w:t xml:space="preserve"> + </w:t>
      </w:r>
      <m:oMath>
        <m:sSub>
          <m:sSubPr>
            <m:ctrlPr>
              <w:rPr>
                <w:rFonts w:ascii="Cambria Math" w:eastAsia="Calibri" w:hAnsi="Cambria Math"/>
                <w:i/>
                <w:iCs/>
                <w:szCs w:val="20"/>
                <w:lang w:val="en-US" w:eastAsia="en-US"/>
              </w:rPr>
            </m:ctrlPr>
          </m:sSubPr>
          <m:e>
            <m:r>
              <w:rPr>
                <w:rFonts w:ascii="Cambria Math" w:eastAsia="Calibri" w:hAnsi="Cambria Math"/>
                <w:szCs w:val="20"/>
                <w:lang w:val="en-US" w:eastAsia="en-US"/>
              </w:rPr>
              <m:t>P</m:t>
            </m:r>
          </m:e>
          <m:sub>
            <m:r>
              <w:rPr>
                <w:rFonts w:ascii="Cambria Math" w:eastAsia="Calibri" w:hAnsi="Cambria Math"/>
                <w:szCs w:val="20"/>
                <w:lang w:val="en-US" w:eastAsia="en-US"/>
              </w:rPr>
              <m:t>import </m:t>
            </m:r>
          </m:sub>
        </m:sSub>
        <m:r>
          <m:rPr>
            <m:sty m:val="p"/>
          </m:rPr>
          <w:rPr>
            <w:rFonts w:ascii="Cambria Math" w:eastAsia="Calibri" w:hAnsi="Cambria Math"/>
            <w:szCs w:val="20"/>
            <w:lang w:val="en-US" w:eastAsia="en-US"/>
          </w:rPr>
          <m:t>(t)</m:t>
        </m:r>
        <m:sSub>
          <m:sSubPr>
            <m:ctrlPr>
              <w:rPr>
                <w:rFonts w:ascii="Cambria Math" w:eastAsia="Calibri" w:hAnsi="Cambria Math"/>
                <w:i/>
                <w:iCs/>
                <w:szCs w:val="20"/>
                <w:lang w:val="en-US" w:eastAsia="en-US"/>
              </w:rPr>
            </m:ctrlPr>
          </m:sSubPr>
          <m:e>
            <m:r>
              <w:rPr>
                <w:rFonts w:ascii="Cambria Math" w:eastAsia="Calibri" w:hAnsi="Cambria Math"/>
                <w:szCs w:val="20"/>
                <w:lang w:val="en-US" w:eastAsia="en-US"/>
              </w:rPr>
              <m:t>- P</m:t>
            </m:r>
          </m:e>
          <m:sub>
            <m:r>
              <w:rPr>
                <w:rFonts w:ascii="Cambria Math" w:eastAsia="Calibri" w:hAnsi="Cambria Math"/>
                <w:szCs w:val="20"/>
                <w:lang w:val="en-US" w:eastAsia="en-US"/>
              </w:rPr>
              <m:t>over</m:t>
            </m:r>
          </m:sub>
        </m:sSub>
        <m:r>
          <m:rPr>
            <m:sty m:val="p"/>
          </m:rPr>
          <w:rPr>
            <w:rFonts w:ascii="Cambria Math" w:eastAsia="Calibri" w:hAnsi="Cambria Math"/>
            <w:szCs w:val="20"/>
            <w:lang w:val="en-US" w:eastAsia="en-US"/>
          </w:rPr>
          <m:t>(t)</m:t>
        </m:r>
      </m:oMath>
      <w:r w:rsidR="00640549" w:rsidRPr="00640549">
        <w:rPr>
          <w:rFonts w:ascii="Times New Roman" w:eastAsia="Calibri" w:hAnsi="Times New Roman"/>
          <w:szCs w:val="20"/>
          <w:lang w:val="en-US" w:eastAsia="en-US"/>
        </w:rPr>
        <w:t xml:space="preserve"> + </w:t>
      </w:r>
      <m:oMath>
        <m:sSub>
          <m:sSubPr>
            <m:ctrlPr>
              <w:rPr>
                <w:rFonts w:ascii="Cambria Math" w:eastAsia="Calibri" w:hAnsi="Cambria Math"/>
                <w:i/>
                <w:iCs/>
                <w:szCs w:val="20"/>
                <w:lang w:val="en-US" w:eastAsia="en-US"/>
              </w:rPr>
            </m:ctrlPr>
          </m:sSubPr>
          <m:e>
            <m:r>
              <w:rPr>
                <w:rFonts w:ascii="Cambria Math" w:eastAsia="Calibri" w:hAnsi="Cambria Math"/>
                <w:szCs w:val="20"/>
                <w:lang w:val="en-US" w:eastAsia="en-US"/>
              </w:rPr>
              <m:t>P</m:t>
            </m:r>
          </m:e>
          <m:sub>
            <m:r>
              <w:rPr>
                <w:rFonts w:ascii="Cambria Math" w:eastAsia="Calibri" w:hAnsi="Cambria Math"/>
                <w:szCs w:val="20"/>
                <w:lang w:val="en-US" w:eastAsia="en-US"/>
              </w:rPr>
              <m:t>under</m:t>
            </m:r>
          </m:sub>
        </m:sSub>
        <m:r>
          <m:rPr>
            <m:sty m:val="p"/>
          </m:rPr>
          <w:rPr>
            <w:rFonts w:ascii="Cambria Math" w:eastAsia="Calibri" w:hAnsi="Cambria Math"/>
            <w:szCs w:val="20"/>
            <w:lang w:val="en-US" w:eastAsia="en-US"/>
          </w:rPr>
          <m:t>(t)</m:t>
        </m:r>
      </m:oMath>
      <w:r w:rsidR="00640549" w:rsidRPr="00640549">
        <w:rPr>
          <w:rFonts w:ascii="Times New Roman" w:eastAsia="Calibri" w:hAnsi="Times New Roman"/>
          <w:szCs w:val="20"/>
          <w:lang w:val="en-US" w:eastAsia="en-US"/>
        </w:rPr>
        <w:tab/>
        <w:t xml:space="preserve">(MW) </w:t>
      </w:r>
      <w:r w:rsidR="00640549" w:rsidRPr="00640549">
        <w:rPr>
          <w:rFonts w:ascii="Times New Roman" w:eastAsia="Calibri" w:hAnsi="Times New Roman"/>
          <w:szCs w:val="20"/>
          <w:lang w:val="en-US" w:eastAsia="en-US"/>
        </w:rPr>
        <w:tab/>
      </w:r>
      <w:r w:rsidR="00640549" w:rsidRPr="00640549">
        <w:rPr>
          <w:rFonts w:ascii="Times New Roman" w:eastAsia="Calibri" w:hAnsi="Times New Roman"/>
          <w:szCs w:val="20"/>
          <w:lang w:val="en-US" w:eastAsia="en-US"/>
        </w:rPr>
        <w:tab/>
      </w:r>
      <w:r w:rsidR="00640549" w:rsidRPr="00640549">
        <w:rPr>
          <w:rFonts w:ascii="Times New Roman" w:eastAsia="Calibri" w:hAnsi="Times New Roman"/>
          <w:szCs w:val="20"/>
          <w:lang w:val="en-US" w:eastAsia="en-US"/>
        </w:rPr>
        <w:tab/>
      </w:r>
      <w:r w:rsidR="00640549" w:rsidRPr="00640549">
        <w:rPr>
          <w:rFonts w:ascii="Times New Roman" w:eastAsia="Calibri" w:hAnsi="Times New Roman"/>
          <w:szCs w:val="20"/>
          <w:lang w:val="en-US" w:eastAsia="en-US"/>
        </w:rPr>
        <w:tab/>
      </w:r>
      <w:r w:rsidR="00640549" w:rsidRPr="0080158F">
        <w:rPr>
          <w:lang w:val="en-US"/>
        </w:rPr>
        <w:t>(</w:t>
      </w:r>
      <w:r w:rsidR="00640549" w:rsidRPr="00640549">
        <w:rPr>
          <w:lang w:val="en-US"/>
        </w:rPr>
        <w:t>2</w:t>
      </w:r>
      <w:r w:rsidR="00640549" w:rsidRPr="0080158F">
        <w:rPr>
          <w:lang w:val="en-US"/>
        </w:rPr>
        <w:t>)</w:t>
      </w:r>
    </w:p>
    <w:p w14:paraId="24648A23" w14:textId="77777777" w:rsidR="00640549" w:rsidRPr="00640549" w:rsidRDefault="00640549" w:rsidP="00640549">
      <w:pPr>
        <w:rPr>
          <w:lang w:val="en-US"/>
        </w:rPr>
      </w:pPr>
      <w:r w:rsidRPr="00640549">
        <w:rPr>
          <w:lang w:val="en-US"/>
        </w:rPr>
        <w:t>P</w:t>
      </w:r>
      <w:r w:rsidRPr="00640549">
        <w:rPr>
          <w:vertAlign w:val="subscript"/>
          <w:lang w:val="en-US"/>
        </w:rPr>
        <w:t>total</w:t>
      </w:r>
      <w:r w:rsidRPr="00640549">
        <w:rPr>
          <w:lang w:val="en-US"/>
        </w:rPr>
        <w:t xml:space="preserve">  </w:t>
      </w:r>
      <w:r w:rsidRPr="00640549">
        <w:rPr>
          <w:lang w:val="en-US"/>
        </w:rPr>
        <w:tab/>
        <w:t>Total power available (MW)</w:t>
      </w:r>
      <w:r w:rsidRPr="00640549">
        <w:rPr>
          <w:lang w:val="en-US"/>
        </w:rPr>
        <w:tab/>
      </w:r>
      <w:r w:rsidRPr="00640549">
        <w:rPr>
          <w:lang w:val="en-US"/>
        </w:rPr>
        <w:tab/>
      </w:r>
      <w:r w:rsidRPr="00640549">
        <w:rPr>
          <w:lang w:val="en-US"/>
        </w:rPr>
        <w:tab/>
        <w:t>P</w:t>
      </w:r>
      <w:r w:rsidRPr="00640549">
        <w:rPr>
          <w:vertAlign w:val="subscript"/>
          <w:lang w:val="en-US"/>
        </w:rPr>
        <w:t>RE</w:t>
      </w:r>
      <w:r w:rsidRPr="00640549">
        <w:rPr>
          <w:lang w:val="en-US"/>
        </w:rPr>
        <w:tab/>
        <w:t>Power of renewable energy (MW)</w:t>
      </w:r>
    </w:p>
    <w:p w14:paraId="40143921" w14:textId="77777777" w:rsidR="00640549" w:rsidRPr="00640549" w:rsidRDefault="00640549" w:rsidP="00640549">
      <w:pPr>
        <w:rPr>
          <w:lang w:val="en-US"/>
        </w:rPr>
      </w:pPr>
      <w:r w:rsidRPr="00640549">
        <w:rPr>
          <w:lang w:val="en-US"/>
        </w:rPr>
        <w:t>PSH</w:t>
      </w:r>
      <w:r w:rsidRPr="00640549">
        <w:rPr>
          <w:lang w:val="en-US"/>
        </w:rPr>
        <w:tab/>
        <w:t xml:space="preserve">Pumped storage hydropower </w:t>
      </w:r>
      <w:r w:rsidRPr="00640549">
        <w:rPr>
          <w:lang w:val="en-US"/>
        </w:rPr>
        <w:tab/>
      </w:r>
      <w:r w:rsidRPr="00640549">
        <w:rPr>
          <w:lang w:val="en-US"/>
        </w:rPr>
        <w:tab/>
      </w:r>
      <w:r w:rsidRPr="00640549">
        <w:rPr>
          <w:lang w:val="en-US"/>
        </w:rPr>
        <w:tab/>
        <w:t>SH</w:t>
      </w:r>
      <w:r w:rsidRPr="00640549">
        <w:rPr>
          <w:lang w:val="en-US"/>
        </w:rPr>
        <w:tab/>
        <w:t xml:space="preserve">Storage hydropower </w:t>
      </w:r>
    </w:p>
    <w:p w14:paraId="62E08DB7" w14:textId="77777777" w:rsidR="00640549" w:rsidRPr="00640549" w:rsidRDefault="00640549" w:rsidP="00640549">
      <w:pPr>
        <w:rPr>
          <w:lang w:val="en-US"/>
        </w:rPr>
      </w:pPr>
      <w:r w:rsidRPr="00640549">
        <w:rPr>
          <w:lang w:val="en-US"/>
        </w:rPr>
        <w:t>P2G</w:t>
      </w:r>
      <w:r w:rsidRPr="00640549">
        <w:rPr>
          <w:lang w:val="en-US"/>
        </w:rPr>
        <w:tab/>
        <w:t xml:space="preserve">Power-to-gas </w:t>
      </w:r>
      <w:r w:rsidRPr="00640549">
        <w:rPr>
          <w:lang w:val="en-US"/>
        </w:rPr>
        <w:tab/>
      </w:r>
      <w:r w:rsidRPr="00640549">
        <w:rPr>
          <w:lang w:val="en-US"/>
        </w:rPr>
        <w:tab/>
      </w:r>
      <w:r w:rsidRPr="00640549">
        <w:rPr>
          <w:lang w:val="en-US"/>
        </w:rPr>
        <w:tab/>
      </w:r>
      <w:r w:rsidRPr="00640549">
        <w:rPr>
          <w:lang w:val="en-US"/>
        </w:rPr>
        <w:tab/>
      </w:r>
      <w:r w:rsidRPr="00640549">
        <w:rPr>
          <w:lang w:val="en-US"/>
        </w:rPr>
        <w:tab/>
        <w:t>H</w:t>
      </w:r>
      <w:r w:rsidRPr="00640549">
        <w:rPr>
          <w:vertAlign w:val="subscript"/>
          <w:lang w:val="en-US"/>
        </w:rPr>
        <w:t>2</w:t>
      </w:r>
      <w:r w:rsidRPr="00640549">
        <w:rPr>
          <w:lang w:val="en-US"/>
        </w:rPr>
        <w:tab/>
        <w:t xml:space="preserve">Hydrogen </w:t>
      </w:r>
    </w:p>
    <w:p w14:paraId="5BA98071" w14:textId="77777777" w:rsidR="00640549" w:rsidRPr="00640549" w:rsidRDefault="00640549" w:rsidP="00640549">
      <w:pPr>
        <w:rPr>
          <w:lang w:val="en-US"/>
        </w:rPr>
      </w:pPr>
      <w:r w:rsidRPr="00640549">
        <w:rPr>
          <w:lang w:val="en-US"/>
        </w:rPr>
        <w:t>CCGT</w:t>
      </w:r>
      <w:r w:rsidRPr="00640549">
        <w:rPr>
          <w:lang w:val="en-US"/>
        </w:rPr>
        <w:tab/>
        <w:t>Combined cycle gas turbine</w:t>
      </w:r>
    </w:p>
    <w:p w14:paraId="631A6E20" w14:textId="77777777" w:rsidR="005D6221" w:rsidRPr="00640549" w:rsidRDefault="005D6221" w:rsidP="00A747D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443"/>
      </w:tblGrid>
      <w:tr w:rsidR="00074F77" w:rsidRPr="00640549" w14:paraId="6A276E41" w14:textId="77777777" w:rsidTr="00EF1604">
        <w:tc>
          <w:tcPr>
            <w:tcW w:w="3951" w:type="dxa"/>
            <w:tcBorders>
              <w:top w:val="single" w:sz="4" w:space="0" w:color="auto"/>
              <w:left w:val="single" w:sz="4" w:space="0" w:color="auto"/>
              <w:bottom w:val="single" w:sz="4" w:space="0" w:color="auto"/>
              <w:right w:val="single" w:sz="4" w:space="0" w:color="auto"/>
            </w:tcBorders>
            <w:hideMark/>
          </w:tcPr>
          <w:p w14:paraId="1F83E869" w14:textId="77777777" w:rsidR="00A747D3" w:rsidRPr="00640549" w:rsidRDefault="00A747D3" w:rsidP="00EF1604">
            <w:pPr>
              <w:spacing w:before="60" w:after="60"/>
              <w:rPr>
                <w:bCs/>
                <w:kern w:val="32"/>
                <w:lang w:val="en-US" w:eastAsia="de-DE"/>
              </w:rPr>
            </w:pPr>
            <w:r w:rsidRPr="00640549">
              <w:rPr>
                <w:bCs/>
                <w:noProof/>
                <w:kern w:val="32"/>
                <w:lang w:val="en-US" w:eastAsia="de-DE"/>
              </w:rPr>
              <w:drawing>
                <wp:inline distT="0" distB="0" distL="0" distR="0" wp14:anchorId="2256B0FB" wp14:editId="0B1E1376">
                  <wp:extent cx="2847149" cy="14605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6793" cy="1480836"/>
                          </a:xfrm>
                          <a:prstGeom prst="rect">
                            <a:avLst/>
                          </a:prstGeom>
                          <a:noFill/>
                        </pic:spPr>
                      </pic:pic>
                    </a:graphicData>
                  </a:graphic>
                </wp:inline>
              </w:drawing>
            </w:r>
          </w:p>
        </w:tc>
        <w:tc>
          <w:tcPr>
            <w:tcW w:w="5111" w:type="dxa"/>
            <w:tcBorders>
              <w:top w:val="single" w:sz="4" w:space="0" w:color="auto"/>
              <w:left w:val="single" w:sz="4" w:space="0" w:color="auto"/>
              <w:bottom w:val="single" w:sz="4" w:space="0" w:color="auto"/>
              <w:right w:val="single" w:sz="4" w:space="0" w:color="auto"/>
            </w:tcBorders>
            <w:hideMark/>
          </w:tcPr>
          <w:p w14:paraId="2277D4B2" w14:textId="77777777" w:rsidR="00A747D3" w:rsidRPr="00640549" w:rsidRDefault="00A747D3" w:rsidP="00EF1604">
            <w:pPr>
              <w:spacing w:before="60" w:after="60"/>
              <w:rPr>
                <w:bCs/>
                <w:kern w:val="32"/>
                <w:lang w:val="en-US" w:eastAsia="de-DE"/>
              </w:rPr>
            </w:pPr>
            <w:r w:rsidRPr="00640549">
              <w:rPr>
                <w:bCs/>
                <w:noProof/>
                <w:kern w:val="32"/>
                <w:lang w:val="en-US" w:eastAsia="de-DE"/>
              </w:rPr>
              <w:drawing>
                <wp:inline distT="0" distB="0" distL="0" distR="0" wp14:anchorId="3C446E6F" wp14:editId="231F4A31">
                  <wp:extent cx="2732460" cy="13462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2834" cy="1366091"/>
                          </a:xfrm>
                          <a:prstGeom prst="rect">
                            <a:avLst/>
                          </a:prstGeom>
                          <a:noFill/>
                        </pic:spPr>
                      </pic:pic>
                    </a:graphicData>
                  </a:graphic>
                </wp:inline>
              </w:drawing>
            </w:r>
          </w:p>
        </w:tc>
      </w:tr>
      <w:tr w:rsidR="00074F77" w:rsidRPr="00640549" w14:paraId="26189BAE" w14:textId="77777777" w:rsidTr="00EF1604">
        <w:tc>
          <w:tcPr>
            <w:tcW w:w="3951" w:type="dxa"/>
            <w:tcBorders>
              <w:top w:val="single" w:sz="4" w:space="0" w:color="auto"/>
              <w:left w:val="single" w:sz="4" w:space="0" w:color="auto"/>
              <w:bottom w:val="single" w:sz="4" w:space="0" w:color="auto"/>
              <w:right w:val="single" w:sz="4" w:space="0" w:color="auto"/>
            </w:tcBorders>
            <w:hideMark/>
          </w:tcPr>
          <w:p w14:paraId="05BD994B" w14:textId="77777777" w:rsidR="00A747D3" w:rsidRPr="00640549" w:rsidRDefault="00A747D3" w:rsidP="00EF1604">
            <w:pPr>
              <w:spacing w:before="60" w:after="60"/>
              <w:rPr>
                <w:rFonts w:cs="Arial"/>
                <w:bCs/>
                <w:kern w:val="32"/>
                <w:sz w:val="18"/>
                <w:szCs w:val="18"/>
                <w:lang w:val="en-US" w:eastAsia="de-DE"/>
              </w:rPr>
            </w:pPr>
            <w:r w:rsidRPr="00640549">
              <w:rPr>
                <w:rFonts w:cs="Arial"/>
                <w:spacing w:val="-3"/>
                <w:sz w:val="18"/>
                <w:szCs w:val="18"/>
                <w:lang w:val="en-US" w:eastAsia="de-DE"/>
              </w:rPr>
              <w:t xml:space="preserve">Fig. 3. Schematic model structure </w:t>
            </w:r>
          </w:p>
        </w:tc>
        <w:tc>
          <w:tcPr>
            <w:tcW w:w="5111" w:type="dxa"/>
            <w:tcBorders>
              <w:top w:val="single" w:sz="4" w:space="0" w:color="auto"/>
              <w:left w:val="single" w:sz="4" w:space="0" w:color="auto"/>
              <w:bottom w:val="single" w:sz="4" w:space="0" w:color="auto"/>
              <w:right w:val="single" w:sz="4" w:space="0" w:color="auto"/>
            </w:tcBorders>
            <w:hideMark/>
          </w:tcPr>
          <w:p w14:paraId="55AE9861" w14:textId="77777777" w:rsidR="00A747D3" w:rsidRPr="00640549" w:rsidRDefault="00A747D3" w:rsidP="00EF1604">
            <w:pPr>
              <w:spacing w:before="60" w:after="60"/>
              <w:rPr>
                <w:bCs/>
                <w:kern w:val="32"/>
                <w:szCs w:val="20"/>
                <w:lang w:val="en-US" w:eastAsia="de-DE"/>
              </w:rPr>
            </w:pPr>
            <w:r w:rsidRPr="00640549">
              <w:rPr>
                <w:rFonts w:cs="Arial"/>
                <w:spacing w:val="-3"/>
                <w:sz w:val="18"/>
                <w:szCs w:val="18"/>
                <w:lang w:val="en-US" w:eastAsia="de-DE"/>
              </w:rPr>
              <w:t xml:space="preserve">Fig. 4. Scenario design </w:t>
            </w:r>
          </w:p>
        </w:tc>
      </w:tr>
    </w:tbl>
    <w:p w14:paraId="3F141BA9" w14:textId="77777777" w:rsidR="00246616" w:rsidRPr="00640549" w:rsidRDefault="00246616" w:rsidP="00D91A1E">
      <w:pPr>
        <w:autoSpaceDE w:val="0"/>
        <w:autoSpaceDN w:val="0"/>
        <w:adjustRightInd w:val="0"/>
        <w:jc w:val="left"/>
        <w:rPr>
          <w:rFonts w:cs="Arial"/>
          <w:szCs w:val="20"/>
          <w:lang w:val="en-US" w:eastAsia="de-DE"/>
        </w:rPr>
      </w:pPr>
    </w:p>
    <w:p w14:paraId="4C4EECF7" w14:textId="20414DBE" w:rsidR="00D91A1E" w:rsidRPr="00640549" w:rsidRDefault="00807833" w:rsidP="00133476">
      <w:pPr>
        <w:pStyle w:val="Ueberschrift"/>
        <w:rPr>
          <w:lang w:val="en-US"/>
        </w:rPr>
      </w:pPr>
      <w:r w:rsidRPr="00640549">
        <w:rPr>
          <w:lang w:val="en-US"/>
        </w:rPr>
        <w:t>Results and conclusions</w:t>
      </w:r>
      <w:bookmarkStart w:id="0" w:name="_Toc26086066"/>
      <w:bookmarkStart w:id="1" w:name="_Toc68418491"/>
    </w:p>
    <w:p w14:paraId="6C9B62B6" w14:textId="17E134FB" w:rsidR="00D97C02" w:rsidRDefault="00133476" w:rsidP="00133476">
      <w:pPr>
        <w:rPr>
          <w:lang w:val="en-US"/>
        </w:rPr>
      </w:pPr>
      <w:r w:rsidRPr="00133476">
        <w:rPr>
          <w:lang w:val="en-US"/>
        </w:rPr>
        <w:t>Hydrogen storage will become an essential part of a fully renewable energy system in the future</w:t>
      </w:r>
      <w:r w:rsidR="00CF05FD">
        <w:rPr>
          <w:lang w:val="en-US"/>
        </w:rPr>
        <w:t xml:space="preserve">. </w:t>
      </w:r>
      <w:r w:rsidR="00CF05FD" w:rsidRPr="00CF05FD">
        <w:rPr>
          <w:lang w:val="en-US"/>
        </w:rPr>
        <w:t xml:space="preserve">The type of storage will </w:t>
      </w:r>
      <w:r w:rsidR="00BB3C1D">
        <w:rPr>
          <w:lang w:val="en-US"/>
        </w:rPr>
        <w:t>be different</w:t>
      </w:r>
      <w:r w:rsidR="00CF05FD" w:rsidRPr="00CF05FD">
        <w:rPr>
          <w:lang w:val="en-US"/>
        </w:rPr>
        <w:t xml:space="preserve"> depending on the geological conditions. </w:t>
      </w:r>
      <w:r w:rsidR="00BB3C1D">
        <w:rPr>
          <w:lang w:val="en-US"/>
        </w:rPr>
        <w:t>Recent studies show that on a large scale</w:t>
      </w:r>
      <w:r w:rsidR="00EB5886">
        <w:rPr>
          <w:lang w:val="en-US"/>
        </w:rPr>
        <w:t>,</w:t>
      </w:r>
      <w:r w:rsidR="00BB3C1D">
        <w:rPr>
          <w:lang w:val="en-US"/>
        </w:rPr>
        <w:t xml:space="preserve"> subsurface storage will be the prevailing technology </w:t>
      </w:r>
      <w:r w:rsidR="00BB3C1D">
        <w:rPr>
          <w:lang w:val="en-US"/>
        </w:rPr>
        <w:fldChar w:fldCharType="begin"/>
      </w:r>
      <w:r w:rsidR="00BB3C1D">
        <w:rPr>
          <w:lang w:val="en-US"/>
        </w:rPr>
        <w:instrText xml:space="preserve"> ADDIN ZOTERO_ITEM CSL_CITATION {"citationID":"ueEToXcN","properties":{"formattedCitation":"[1]","plainCitation":"[1]","noteIndex":0},"citationItems":[{"id":488,"uris":["http://zotero.org/users/local/9OGMU9pT/items/26TC8839"],"itemData":{"id":488,"type":"article-journal","abstract":"International Journal of Hydrogen Energy, 46 (2021) 25160-25174. doi:10.1016/j.ijhydene.2021.05.030","container-title":"International Journal of Hydrogen Energy","DOI":"10.1016/j.ijhydene.2021.05.030","ISSN":"03603199","issue":"49","note":"number-of-pages: 15","page":"25160-25174","title":"Seasonal hydrogen storage in a depleted oil and gas field","volume":"46","author":[{"family":"Lysyy","given":"Maksim"},{"family":"Fernø","given":"Martin"},{"family":"Ersland","given":"Geir"}],"issued":{"date-parts":[["2021",1,1]]}}}],"schema":"https://github.com/citation-style-language/schema/raw/master/csl-citation.json"} </w:instrText>
      </w:r>
      <w:r w:rsidR="00BB3C1D">
        <w:rPr>
          <w:lang w:val="en-US"/>
        </w:rPr>
        <w:fldChar w:fldCharType="separate"/>
      </w:r>
      <w:r w:rsidR="00BB3C1D" w:rsidRPr="00BB3C1D">
        <w:rPr>
          <w:rFonts w:cs="Arial"/>
          <w:lang w:val="en-US"/>
        </w:rPr>
        <w:t>[1]</w:t>
      </w:r>
      <w:r w:rsidR="00BB3C1D">
        <w:rPr>
          <w:lang w:val="en-US"/>
        </w:rPr>
        <w:fldChar w:fldCharType="end"/>
      </w:r>
      <w:r w:rsidR="00BB3C1D">
        <w:rPr>
          <w:lang w:val="en-US"/>
        </w:rPr>
        <w:t>. G</w:t>
      </w:r>
      <w:r w:rsidR="00D97C02" w:rsidRPr="00D97C02">
        <w:rPr>
          <w:lang w:val="en-US"/>
        </w:rPr>
        <w:t xml:space="preserve">aseous hydrogen </w:t>
      </w:r>
      <w:r w:rsidR="00D97C02">
        <w:rPr>
          <w:lang w:val="en-US"/>
        </w:rPr>
        <w:t xml:space="preserve">storage </w:t>
      </w:r>
      <w:r w:rsidR="00D97C02" w:rsidRPr="00D97C02">
        <w:rPr>
          <w:lang w:val="en-US"/>
        </w:rPr>
        <w:t>in salt caverns</w:t>
      </w:r>
      <w:r w:rsidR="00BB3C1D">
        <w:rPr>
          <w:lang w:val="en-US"/>
        </w:rPr>
        <w:t>, for example,</w:t>
      </w:r>
      <w:r w:rsidR="00D97C02">
        <w:rPr>
          <w:lang w:val="en-US"/>
        </w:rPr>
        <w:t xml:space="preserve"> </w:t>
      </w:r>
      <w:r w:rsidR="00CF05FD" w:rsidRPr="00CF05FD">
        <w:rPr>
          <w:lang w:val="en-US"/>
        </w:rPr>
        <w:t>is already in use on a</w:t>
      </w:r>
      <w:r w:rsidR="00D97C02">
        <w:rPr>
          <w:lang w:val="en-US"/>
        </w:rPr>
        <w:t>n</w:t>
      </w:r>
      <w:r w:rsidR="00CF05FD" w:rsidRPr="00CF05FD">
        <w:rPr>
          <w:lang w:val="en-US"/>
        </w:rPr>
        <w:t xml:space="preserve"> </w:t>
      </w:r>
      <w:r w:rsidR="00D97C02">
        <w:rPr>
          <w:lang w:val="en-US"/>
        </w:rPr>
        <w:t xml:space="preserve">industrial </w:t>
      </w:r>
      <w:r w:rsidR="00CF05FD" w:rsidRPr="00CF05FD">
        <w:rPr>
          <w:lang w:val="en-US"/>
        </w:rPr>
        <w:t>scale</w:t>
      </w:r>
      <w:r w:rsidR="00D97C02">
        <w:rPr>
          <w:lang w:val="en-US"/>
        </w:rPr>
        <w:t xml:space="preserve"> </w:t>
      </w:r>
      <w:r w:rsidR="00CF05FD">
        <w:rPr>
          <w:lang w:val="en-US"/>
        </w:rPr>
        <w:fldChar w:fldCharType="begin"/>
      </w:r>
      <w:r w:rsidR="00BB3C1D">
        <w:rPr>
          <w:lang w:val="en-US"/>
        </w:rPr>
        <w:instrText xml:space="preserve"> ADDIN ZOTERO_ITEM CSL_CITATION {"citationID":"OlxdhJbK","properties":{"formattedCitation":"[2]","plainCitation":"[2]","noteIndex":0},"citationItems":[{"id":2304,"uris":["http://zotero.org/users/local/9OGMU9pT/items/DSB6KWW9"],"itemData":{"id":2304,"type":"article-journal","abstract":"The large-scale storage of hydrogen plays a fundamental role in a potential future hydrogen economy. Although the storage of gaseous hydrogen in salt caverns already is used on a full industrial scale, the approach is not applicable in all regions due to varying geological conditions. Therefore, other storage methods are necessary. In this article, options for the large-scale storage of hydrogen are reviewed and compared based on fundamental thermodynamic and engineering aspects. The application of certain storage technologies, such as liquid hydrogen, methanol, ammonia, and dibenzyltoluene, is found to be advantageous in terms of storage density, cost of storage, and safety. The variable costs for these high-density storage technologies are largely associated with a high electricity demand for the storage process or with a high heat demand for the hydrogen release process. If hydrogen is produced via electrolysis and stored during times of low electricity prices in an industrial setting, these variable costs may be tolerable.","container-title":"International Journal of Hydrogen Energy","DOI":"10.1016/j.ijhydene.2019.03.063","ISSN":"03603199","issue":"23","journalAbbreviation":"International Journal of Hydrogen Energy","language":"en","page":"11901-11919","source":"DOI.org (Crossref)","title":"Large-scale storage of hydrogen","volume":"44","author":[{"family":"Andersson","given":"Joakim"},{"family":"Grönkvist","given":"Stefan"}],"issued":{"date-parts":[["2019",5]]}}}],"schema":"https://github.com/citation-style-language/schema/raw/master/csl-citation.json"} </w:instrText>
      </w:r>
      <w:r w:rsidR="00CF05FD">
        <w:rPr>
          <w:lang w:val="en-US"/>
        </w:rPr>
        <w:fldChar w:fldCharType="separate"/>
      </w:r>
      <w:r w:rsidR="00BB3C1D" w:rsidRPr="00BB3C1D">
        <w:rPr>
          <w:rFonts w:cs="Arial"/>
          <w:lang w:val="en-US"/>
        </w:rPr>
        <w:t>[2]</w:t>
      </w:r>
      <w:r w:rsidR="00CF05FD">
        <w:rPr>
          <w:lang w:val="en-US"/>
        </w:rPr>
        <w:fldChar w:fldCharType="end"/>
      </w:r>
      <w:r w:rsidRPr="00133476">
        <w:rPr>
          <w:lang w:val="en-US"/>
        </w:rPr>
        <w:t xml:space="preserve">. </w:t>
      </w:r>
      <w:r w:rsidR="00BB3C1D">
        <w:rPr>
          <w:lang w:val="en-US"/>
        </w:rPr>
        <w:t>While s</w:t>
      </w:r>
      <w:r w:rsidR="00D97C02" w:rsidRPr="00CF05FD">
        <w:rPr>
          <w:lang w:val="en-US"/>
        </w:rPr>
        <w:t xml:space="preserve">torage in depleted gas reservoirs, as is the case in Austria, is </w:t>
      </w:r>
      <w:r w:rsidR="00D97C02">
        <w:rPr>
          <w:lang w:val="en-US"/>
        </w:rPr>
        <w:t xml:space="preserve">in an earlier phase, </w:t>
      </w:r>
      <w:r w:rsidR="00BB3C1D">
        <w:rPr>
          <w:lang w:val="en-US"/>
        </w:rPr>
        <w:t xml:space="preserve">it is </w:t>
      </w:r>
      <w:r w:rsidR="00D97C02">
        <w:rPr>
          <w:lang w:val="en-US"/>
        </w:rPr>
        <w:t>according t</w:t>
      </w:r>
      <w:r w:rsidR="00BB3C1D">
        <w:rPr>
          <w:lang w:val="en-US"/>
        </w:rPr>
        <w:t>o</w:t>
      </w:r>
      <w:r w:rsidR="00D97C02">
        <w:rPr>
          <w:lang w:val="en-US"/>
        </w:rPr>
        <w:t xml:space="preserve"> Chen </w:t>
      </w:r>
      <w:r w:rsidR="00D97C02">
        <w:rPr>
          <w:lang w:val="en-US"/>
        </w:rPr>
        <w:fldChar w:fldCharType="begin"/>
      </w:r>
      <w:r w:rsidR="00BB3C1D">
        <w:rPr>
          <w:lang w:val="en-US"/>
        </w:rPr>
        <w:instrText xml:space="preserve"> ADDIN ZOTERO_ITEM CSL_CITATION {"citationID":"k14q3tEn","properties":{"formattedCitation":"[3]","plainCitation":"[3]","noteIndex":0},"citationItems":[{"id":2317,"uris":["http://zotero.org/users/local/9OGMU9pT/items/HGLUMG2Z"],"itemData":{"id":2317,"type":"article-journal","abstract":"Hydrogen is an integral component of the current energy transition roadmap to decarbonize the economy and create an environmentally-sustainable future. However, surface storage options (e.g., tanks) do not provide the required capacity or durability to deploy a regional or nationwide hydrogen economy. In this study, we have analyzed the techno-economic feasibility of the geologic storage of hydrogen in depleted gas reservoirs, salt caverns, and aquifers in the Intermountain-West (I-WEST) region. We have identified the most favorable candidate sites for hydrogen storage and estimated the volumetric storage capacity. Our results show that the geologic storage of hydrogen can provide at least 72% of total energy consumption of I-WEST region in 2020. We also calculated the capital and levelized costs of each storage option. We found that a depleted gas reservoir is the most cost-effective candidate among the three geologic storage options. Interestingly, the cushion gas type and volume play a significant role in the storage cost when we consider hydrogen storage in saline aquifers. The levelized costs of hydrogen storage in depleted gas reservoirs, salt caverns, and saline aquifers with large-scale storage capacity are approximately $1.3, $2.3, and $3.4 per kg of H2, respectively. This work provides essential guidance for the geologic hydrogen storage in the I-WEST region.","language":"en","page":"25","source":"Zotero","title":"Technical and Economic Feasibility Analysis of Underground Hydrogen Storage: A Case Study in Intermountain-West Region USA","author":[{"family":"Chen","given":"Fangxuan"},{"family":"Ma","given":"Zhiwei"},{"family":"Nasrabadi","given":"Hadi"},{"family":"Chen","given":"Bailian"},{"family":"Wijk","given":"Jolante Wieke Van"}],"issued":{"date-parts":[["2022"]]}}}],"schema":"https://github.com/citation-style-language/schema/raw/master/csl-citation.json"} </w:instrText>
      </w:r>
      <w:r w:rsidR="00D97C02">
        <w:rPr>
          <w:lang w:val="en-US"/>
        </w:rPr>
        <w:fldChar w:fldCharType="separate"/>
      </w:r>
      <w:r w:rsidR="00BB3C1D" w:rsidRPr="00BB3C1D">
        <w:rPr>
          <w:rFonts w:cs="Arial"/>
          <w:lang w:val="en-US"/>
        </w:rPr>
        <w:t>[3]</w:t>
      </w:r>
      <w:r w:rsidR="00D97C02">
        <w:rPr>
          <w:lang w:val="en-US"/>
        </w:rPr>
        <w:fldChar w:fldCharType="end"/>
      </w:r>
      <w:r w:rsidR="00D97C02">
        <w:rPr>
          <w:lang w:val="en-US"/>
        </w:rPr>
        <w:t xml:space="preserve"> the most </w:t>
      </w:r>
      <w:r w:rsidR="00D97C02" w:rsidRPr="00D97C02">
        <w:rPr>
          <w:lang w:val="en-US"/>
        </w:rPr>
        <w:t>cost-effective</w:t>
      </w:r>
      <w:r w:rsidR="00D97C02">
        <w:rPr>
          <w:lang w:val="en-US"/>
        </w:rPr>
        <w:t xml:space="preserve"> technology </w:t>
      </w:r>
      <w:r w:rsidR="00BB3C1D">
        <w:rPr>
          <w:lang w:val="en-US"/>
        </w:rPr>
        <w:t>among</w:t>
      </w:r>
      <w:r w:rsidR="00D97C02">
        <w:rPr>
          <w:lang w:val="en-US"/>
        </w:rPr>
        <w:t xml:space="preserve"> </w:t>
      </w:r>
      <w:r w:rsidR="00D97C02" w:rsidRPr="00D97C02">
        <w:rPr>
          <w:lang w:val="en-US"/>
        </w:rPr>
        <w:t>depleted gas reservoirs, salt caverns, and saline aquifers</w:t>
      </w:r>
      <w:r w:rsidR="00D97C02" w:rsidRPr="00CF05FD">
        <w:rPr>
          <w:lang w:val="en-US"/>
        </w:rPr>
        <w:t xml:space="preserve">. </w:t>
      </w:r>
      <w:r w:rsidR="00D97C02">
        <w:rPr>
          <w:lang w:val="en-US"/>
        </w:rPr>
        <w:t xml:space="preserve"> </w:t>
      </w:r>
    </w:p>
    <w:p w14:paraId="0E55FD17" w14:textId="77777777" w:rsidR="00D97C02" w:rsidRDefault="00D97C02" w:rsidP="00133476">
      <w:pPr>
        <w:rPr>
          <w:lang w:val="en-US"/>
        </w:rPr>
      </w:pPr>
    </w:p>
    <w:p w14:paraId="59F2D9D4" w14:textId="4EF343EE" w:rsidR="00640549" w:rsidRDefault="00133476" w:rsidP="00133476">
      <w:pPr>
        <w:rPr>
          <w:lang w:val="en-US"/>
        </w:rPr>
      </w:pPr>
      <w:r w:rsidRPr="00133476">
        <w:rPr>
          <w:lang w:val="en-US"/>
        </w:rPr>
        <w:t xml:space="preserve">Increasingly renewable generation and the resulting low cost of electricity generation, including surpluses, will make hydrogen storage </w:t>
      </w:r>
      <w:r w:rsidR="00074F77">
        <w:rPr>
          <w:lang w:val="en-US"/>
        </w:rPr>
        <w:t xml:space="preserve">more </w:t>
      </w:r>
      <w:r w:rsidRPr="00133476">
        <w:rPr>
          <w:lang w:val="en-US"/>
        </w:rPr>
        <w:t xml:space="preserve">affordable. The analysis shows which quantities of hydrogen have to be stored seasonally to serve different </w:t>
      </w:r>
      <w:r w:rsidR="00074F77">
        <w:rPr>
          <w:lang w:val="en-US"/>
        </w:rPr>
        <w:t xml:space="preserve">renewable energy generation as well as demand </w:t>
      </w:r>
      <w:r w:rsidRPr="00133476">
        <w:rPr>
          <w:lang w:val="en-US"/>
        </w:rPr>
        <w:t>scenarios</w:t>
      </w:r>
      <w:r w:rsidR="00EB5886">
        <w:rPr>
          <w:lang w:val="en-US"/>
        </w:rPr>
        <w:t>. Furthermore, the amount of surplus renewable electricity that can be utilized for hydrogen production in different weather years will be indicated</w:t>
      </w:r>
      <w:r w:rsidRPr="00133476">
        <w:rPr>
          <w:lang w:val="en-US"/>
        </w:rPr>
        <w:t>. From today's perspective, the biggest problems in the transition to a hydrogen economy are the high costs of green hydrogen production, transport and storage, and also conversion technologies. Furthermore, the low efficiencies of the mentioned processes are another problem.</w:t>
      </w:r>
      <w:r w:rsidR="00BB3C1D">
        <w:rPr>
          <w:lang w:val="en-US"/>
        </w:rPr>
        <w:t xml:space="preserve"> </w:t>
      </w:r>
    </w:p>
    <w:p w14:paraId="75071C4E" w14:textId="77777777" w:rsidR="00640549" w:rsidRPr="00640549" w:rsidRDefault="00640549" w:rsidP="00D91A1E">
      <w:pPr>
        <w:autoSpaceDE w:val="0"/>
        <w:autoSpaceDN w:val="0"/>
        <w:adjustRightInd w:val="0"/>
        <w:jc w:val="left"/>
        <w:rPr>
          <w:rFonts w:cs="Arial"/>
          <w:szCs w:val="20"/>
          <w:lang w:val="en-US" w:eastAsia="de-DE"/>
        </w:rPr>
      </w:pPr>
    </w:p>
    <w:p w14:paraId="309F5B61" w14:textId="4FD1A7D5" w:rsidR="00C424B9" w:rsidRPr="00BB3C1D" w:rsidRDefault="005E4D4F" w:rsidP="00A156E4">
      <w:pPr>
        <w:pStyle w:val="Ueberschrift"/>
        <w:rPr>
          <w:lang w:val="en-US"/>
        </w:rPr>
      </w:pPr>
      <w:r w:rsidRPr="00640549">
        <w:rPr>
          <w:lang w:val="en-US"/>
        </w:rPr>
        <w:t>Literatur</w:t>
      </w:r>
      <w:bookmarkEnd w:id="0"/>
      <w:bookmarkEnd w:id="1"/>
      <w:r w:rsidR="0040201F" w:rsidRPr="00640549">
        <w:rPr>
          <w:lang w:val="en-US"/>
        </w:rPr>
        <w:t>e</w:t>
      </w:r>
    </w:p>
    <w:p w14:paraId="67A64CCE" w14:textId="77777777" w:rsidR="00BB3C1D" w:rsidRPr="00BB3C1D" w:rsidRDefault="00CF05FD" w:rsidP="00BB3C1D">
      <w:pPr>
        <w:pStyle w:val="Bibliography"/>
        <w:rPr>
          <w:rFonts w:cs="Arial"/>
          <w:lang w:val="en-US"/>
        </w:rPr>
      </w:pPr>
      <w:r w:rsidRPr="00BB3C1D">
        <w:rPr>
          <w:lang w:val="en-US"/>
        </w:rPr>
        <w:fldChar w:fldCharType="begin"/>
      </w:r>
      <w:r w:rsidR="00BB3C1D" w:rsidRPr="00BB3C1D">
        <w:rPr>
          <w:lang w:val="en-US"/>
        </w:rPr>
        <w:instrText xml:space="preserve"> ADDIN ZOTERO_BIBL {"uncited":[],"omitted":[],"custom":[]} CSL_BIBLIOGRAPHY </w:instrText>
      </w:r>
      <w:r w:rsidRPr="00BB3C1D">
        <w:rPr>
          <w:lang w:val="en-US"/>
        </w:rPr>
        <w:fldChar w:fldCharType="separate"/>
      </w:r>
      <w:r w:rsidR="00BB3C1D" w:rsidRPr="00BB3C1D">
        <w:rPr>
          <w:rFonts w:cs="Arial"/>
          <w:lang w:val="en-US"/>
        </w:rPr>
        <w:t>[1]</w:t>
      </w:r>
      <w:r w:rsidR="00BB3C1D" w:rsidRPr="00BB3C1D">
        <w:rPr>
          <w:rFonts w:cs="Arial"/>
          <w:lang w:val="en-US"/>
        </w:rPr>
        <w:tab/>
        <w:t xml:space="preserve">M. Lysyy, M. Fernø, and G. Ersland, “Seasonal hydrogen storage in a depleted oil and gas field,” </w:t>
      </w:r>
      <w:r w:rsidR="00BB3C1D" w:rsidRPr="00BB3C1D">
        <w:rPr>
          <w:rFonts w:cs="Arial"/>
          <w:i/>
          <w:iCs/>
          <w:lang w:val="en-US"/>
        </w:rPr>
        <w:t>International Journal of Hydrogen Energy</w:t>
      </w:r>
      <w:r w:rsidR="00BB3C1D" w:rsidRPr="00BB3C1D">
        <w:rPr>
          <w:rFonts w:cs="Arial"/>
          <w:lang w:val="en-US"/>
        </w:rPr>
        <w:t>, vol. 46, no. 49, pp. 25160–25174, Jan. 2021, doi: 10.1016/j.ijhydene.2021.05.030.</w:t>
      </w:r>
    </w:p>
    <w:p w14:paraId="71DD5B7E" w14:textId="77777777" w:rsidR="00BB3C1D" w:rsidRPr="00BB3C1D" w:rsidRDefault="00BB3C1D" w:rsidP="00BB3C1D">
      <w:pPr>
        <w:pStyle w:val="Bibliography"/>
        <w:rPr>
          <w:rFonts w:cs="Arial"/>
          <w:lang w:val="en-US"/>
        </w:rPr>
      </w:pPr>
      <w:r w:rsidRPr="00BB3C1D">
        <w:rPr>
          <w:rFonts w:cs="Arial"/>
          <w:lang w:val="en-US"/>
        </w:rPr>
        <w:t>[2]</w:t>
      </w:r>
      <w:r w:rsidRPr="00BB3C1D">
        <w:rPr>
          <w:rFonts w:cs="Arial"/>
          <w:lang w:val="en-US"/>
        </w:rPr>
        <w:tab/>
        <w:t xml:space="preserve">J. Andersson and S. Grönkvist, “Large-scale storage of hydrogen,” </w:t>
      </w:r>
      <w:r w:rsidRPr="00BB3C1D">
        <w:rPr>
          <w:rFonts w:cs="Arial"/>
          <w:i/>
          <w:iCs/>
          <w:lang w:val="en-US"/>
        </w:rPr>
        <w:t>International Journal of Hydrogen Energy</w:t>
      </w:r>
      <w:r w:rsidRPr="00BB3C1D">
        <w:rPr>
          <w:rFonts w:cs="Arial"/>
          <w:lang w:val="en-US"/>
        </w:rPr>
        <w:t>, vol. 44, no. 23, pp. 11901–11919, May 2019, doi: 10.1016/j.ijhydene.2019.03.063.</w:t>
      </w:r>
    </w:p>
    <w:p w14:paraId="540BD6C0" w14:textId="77777777" w:rsidR="00BB3C1D" w:rsidRPr="00BB3C1D" w:rsidRDefault="00BB3C1D" w:rsidP="00BB3C1D">
      <w:pPr>
        <w:pStyle w:val="Bibliography"/>
        <w:rPr>
          <w:rFonts w:cs="Arial"/>
          <w:lang w:val="en-US"/>
        </w:rPr>
      </w:pPr>
      <w:r w:rsidRPr="00BB3C1D">
        <w:rPr>
          <w:rFonts w:cs="Arial"/>
          <w:lang w:val="en-US"/>
        </w:rPr>
        <w:t>[3]</w:t>
      </w:r>
      <w:r w:rsidRPr="00BB3C1D">
        <w:rPr>
          <w:rFonts w:cs="Arial"/>
          <w:lang w:val="en-US"/>
        </w:rPr>
        <w:tab/>
        <w:t>F. Chen, Z. Ma, H. Nasrabadi, B. Chen, and J. W. V. Wijk, “Technical and Economic Feasibility Analysis of Underground Hydrogen Storage: A Case Study in Intermountain-West Region USA,” p. 25, 2022.</w:t>
      </w:r>
    </w:p>
    <w:p w14:paraId="21C25C98" w14:textId="0C616D4E" w:rsidR="00097A4A" w:rsidRPr="00097A4A" w:rsidRDefault="00CF05FD" w:rsidP="00BB3C1D">
      <w:pPr>
        <w:rPr>
          <w:lang w:val="en-US"/>
        </w:rPr>
      </w:pPr>
      <w:r w:rsidRPr="00BB3C1D">
        <w:rPr>
          <w:lang w:val="en-US"/>
        </w:rPr>
        <w:fldChar w:fldCharType="end"/>
      </w:r>
    </w:p>
    <w:p w14:paraId="5C46D4B5" w14:textId="5708C79F" w:rsidR="0052135F" w:rsidRPr="00BB3C1D" w:rsidRDefault="00BB3C1D" w:rsidP="00BB3C1D">
      <w:pPr>
        <w:rPr>
          <w:lang w:val="en-US"/>
        </w:rPr>
      </w:pPr>
      <w:r w:rsidRPr="008A632D">
        <w:rPr>
          <w:lang w:val="en-US"/>
        </w:rPr>
        <w:t xml:space="preserve">The work is part of the project "Underground Sun Storage 2030". </w:t>
      </w:r>
      <w:r w:rsidRPr="0028128C">
        <w:rPr>
          <w:lang w:val="en-US"/>
        </w:rPr>
        <w:t>It is part of the energy showcase region WIVA P&amp;G and an important step for the development of a secure hydrogen economy.</w:t>
      </w:r>
      <w:r>
        <w:rPr>
          <w:lang w:val="en-US"/>
        </w:rPr>
        <w:t xml:space="preserve"> </w:t>
      </w:r>
      <w:r w:rsidRPr="0028128C">
        <w:rPr>
          <w:lang w:val="en-US"/>
        </w:rPr>
        <w:t xml:space="preserve">The project is funded under the Energy Research Program of the </w:t>
      </w:r>
      <w:r w:rsidR="00E42CAF">
        <w:rPr>
          <w:lang w:val="en-US"/>
        </w:rPr>
        <w:t xml:space="preserve">Austrian </w:t>
      </w:r>
      <w:r w:rsidRPr="0028128C">
        <w:rPr>
          <w:lang w:val="en-US"/>
        </w:rPr>
        <w:t xml:space="preserve">Climate and Energy Fund. </w:t>
      </w:r>
    </w:p>
    <w:sectPr w:rsidR="0052135F" w:rsidRPr="00BB3C1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E50A6" w14:textId="77777777" w:rsidR="00C62F8F" w:rsidRDefault="00C62F8F">
      <w:r>
        <w:separator/>
      </w:r>
    </w:p>
  </w:endnote>
  <w:endnote w:type="continuationSeparator" w:id="0">
    <w:p w14:paraId="3D0AA11C" w14:textId="77777777" w:rsidR="00C62F8F" w:rsidRDefault="00C62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47623" w14:textId="77777777" w:rsidR="00C62F8F" w:rsidRDefault="00C62F8F">
      <w:r>
        <w:separator/>
      </w:r>
    </w:p>
  </w:footnote>
  <w:footnote w:type="continuationSeparator" w:id="0">
    <w:p w14:paraId="6122EA53" w14:textId="77777777" w:rsidR="00C62F8F" w:rsidRDefault="00C62F8F">
      <w:r>
        <w:continuationSeparator/>
      </w:r>
    </w:p>
  </w:footnote>
  <w:footnote w:id="1">
    <w:p w14:paraId="657A023F" w14:textId="77777777" w:rsidR="00491D0A" w:rsidRDefault="00A03F7E" w:rsidP="00491D0A">
      <w:r w:rsidRPr="00A115D2">
        <w:rPr>
          <w:rStyle w:val="FootnoteReference"/>
        </w:rPr>
        <w:footnoteRef/>
      </w:r>
      <w:r w:rsidRPr="00D53E86">
        <w:t xml:space="preserve"> </w:t>
      </w:r>
      <w:r w:rsidR="00491D0A">
        <w:t>Gusshausstraße 25/E370-3, 1040 Wien</w:t>
      </w:r>
      <w:r>
        <w:t xml:space="preserve">, </w:t>
      </w:r>
      <w:r w:rsidR="00491D0A">
        <w:t>+43(0)-1-58801-370333</w:t>
      </w:r>
      <w:r>
        <w:t>,</w:t>
      </w:r>
      <w:r w:rsidR="00491D0A">
        <w:t xml:space="preserve"> sayer@eeg.tuwien.ac.at</w:t>
      </w:r>
      <w:r>
        <w:t xml:space="preserve">, </w:t>
      </w:r>
      <w:r w:rsidR="00491D0A" w:rsidRPr="00491D0A">
        <w:t>http://eeg.tuwien.ac.at/</w:t>
      </w:r>
    </w:p>
    <w:p w14:paraId="14B50EC5" w14:textId="77777777" w:rsidR="00A03F7E" w:rsidRPr="00FB69AE" w:rsidRDefault="00A03F7E" w:rsidP="00491D0A"/>
  </w:footnote>
  <w:footnote w:id="2">
    <w:p w14:paraId="010453EB" w14:textId="77777777" w:rsidR="00A03F7E" w:rsidRPr="00FB69AE" w:rsidRDefault="00A03F7E" w:rsidP="00A03F7E"/>
  </w:footnote>
  <w:footnote w:id="3">
    <w:p w14:paraId="1E140244" w14:textId="77777777" w:rsidR="00A03F7E" w:rsidRPr="00FB69AE" w:rsidRDefault="00A03F7E" w:rsidP="00A03F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5071F"/>
    <w:multiLevelType w:val="multilevel"/>
    <w:tmpl w:val="0978BA90"/>
    <w:numStyleLink w:val="Aufzhlung"/>
  </w:abstractNum>
  <w:abstractNum w:abstractNumId="1"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6C4E51"/>
    <w:multiLevelType w:val="multilevel"/>
    <w:tmpl w:val="828CBCFA"/>
    <w:lvl w:ilvl="0">
      <w:start w:val="1"/>
      <w:numFmt w:val="decimal"/>
      <w:lvlText w:val="%1."/>
      <w:lvlJc w:val="left"/>
      <w:pPr>
        <w:ind w:left="643" w:hanging="360"/>
      </w:pPr>
      <w:rPr>
        <w:rFonts w:hint="default"/>
      </w:rPr>
    </w:lvl>
    <w:lvl w:ilvl="1">
      <w:start w:val="1"/>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3" w15:restartNumberingAfterBreak="0">
    <w:nsid w:val="407B60A2"/>
    <w:multiLevelType w:val="hybridMultilevel"/>
    <w:tmpl w:val="F6E07AF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15:restartNumberingAfterBreak="0">
    <w:nsid w:val="55D75967"/>
    <w:multiLevelType w:val="multilevel"/>
    <w:tmpl w:val="0978BA90"/>
    <w:numStyleLink w:val="Aufzhlung"/>
  </w:abstractNum>
  <w:abstractNum w:abstractNumId="5"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K0MDM1NjEzMDQ2NDFX0lEKTi0uzszPAykwrAUAX6v8WSwAAAA="/>
  </w:docVars>
  <w:rsids>
    <w:rsidRoot w:val="005E4D4F"/>
    <w:rsid w:val="00010E92"/>
    <w:rsid w:val="0002780E"/>
    <w:rsid w:val="000416CD"/>
    <w:rsid w:val="00053E41"/>
    <w:rsid w:val="00074F77"/>
    <w:rsid w:val="00087876"/>
    <w:rsid w:val="000959D0"/>
    <w:rsid w:val="00097A4A"/>
    <w:rsid w:val="000B26FC"/>
    <w:rsid w:val="000D166E"/>
    <w:rsid w:val="000E70C3"/>
    <w:rsid w:val="00122BA2"/>
    <w:rsid w:val="00133476"/>
    <w:rsid w:val="00161CC5"/>
    <w:rsid w:val="00171E93"/>
    <w:rsid w:val="00194E05"/>
    <w:rsid w:val="001D5693"/>
    <w:rsid w:val="002014D3"/>
    <w:rsid w:val="00210128"/>
    <w:rsid w:val="00227125"/>
    <w:rsid w:val="00246616"/>
    <w:rsid w:val="00250139"/>
    <w:rsid w:val="00262FD5"/>
    <w:rsid w:val="0028128C"/>
    <w:rsid w:val="00286B33"/>
    <w:rsid w:val="002946B8"/>
    <w:rsid w:val="002C1296"/>
    <w:rsid w:val="002E6680"/>
    <w:rsid w:val="00347CD6"/>
    <w:rsid w:val="00350F98"/>
    <w:rsid w:val="00371FFF"/>
    <w:rsid w:val="00372E07"/>
    <w:rsid w:val="00381807"/>
    <w:rsid w:val="00382E80"/>
    <w:rsid w:val="003A07CE"/>
    <w:rsid w:val="003B662E"/>
    <w:rsid w:val="003B676F"/>
    <w:rsid w:val="003C28FE"/>
    <w:rsid w:val="003D0CEF"/>
    <w:rsid w:val="003F4170"/>
    <w:rsid w:val="003F48B8"/>
    <w:rsid w:val="003F6EE0"/>
    <w:rsid w:val="003F7A53"/>
    <w:rsid w:val="0040201F"/>
    <w:rsid w:val="0047206D"/>
    <w:rsid w:val="004750BF"/>
    <w:rsid w:val="00483B87"/>
    <w:rsid w:val="00487CC5"/>
    <w:rsid w:val="00491D0A"/>
    <w:rsid w:val="004C2477"/>
    <w:rsid w:val="004D21CF"/>
    <w:rsid w:val="004F7240"/>
    <w:rsid w:val="0052135F"/>
    <w:rsid w:val="00525D24"/>
    <w:rsid w:val="005825F3"/>
    <w:rsid w:val="005B1ADB"/>
    <w:rsid w:val="005B2BB3"/>
    <w:rsid w:val="005D1518"/>
    <w:rsid w:val="005D6221"/>
    <w:rsid w:val="005E4D4F"/>
    <w:rsid w:val="00605842"/>
    <w:rsid w:val="00630FF1"/>
    <w:rsid w:val="00640549"/>
    <w:rsid w:val="00653887"/>
    <w:rsid w:val="00654034"/>
    <w:rsid w:val="00662525"/>
    <w:rsid w:val="00666938"/>
    <w:rsid w:val="006753DA"/>
    <w:rsid w:val="006B1342"/>
    <w:rsid w:val="006D5DAD"/>
    <w:rsid w:val="006E039F"/>
    <w:rsid w:val="007073DB"/>
    <w:rsid w:val="0071760F"/>
    <w:rsid w:val="007378C8"/>
    <w:rsid w:val="00741EC0"/>
    <w:rsid w:val="00772E0B"/>
    <w:rsid w:val="007A4756"/>
    <w:rsid w:val="007A5442"/>
    <w:rsid w:val="007A7EB4"/>
    <w:rsid w:val="007D63E8"/>
    <w:rsid w:val="008010D4"/>
    <w:rsid w:val="0080158F"/>
    <w:rsid w:val="00803917"/>
    <w:rsid w:val="00807833"/>
    <w:rsid w:val="008908E6"/>
    <w:rsid w:val="00891B34"/>
    <w:rsid w:val="0089607C"/>
    <w:rsid w:val="008A3482"/>
    <w:rsid w:val="008A632D"/>
    <w:rsid w:val="008F3563"/>
    <w:rsid w:val="0090470C"/>
    <w:rsid w:val="00925614"/>
    <w:rsid w:val="00954575"/>
    <w:rsid w:val="00955275"/>
    <w:rsid w:val="00961CCE"/>
    <w:rsid w:val="0098756A"/>
    <w:rsid w:val="009B1EEA"/>
    <w:rsid w:val="00A00DFF"/>
    <w:rsid w:val="00A03F7E"/>
    <w:rsid w:val="00A07737"/>
    <w:rsid w:val="00A156E4"/>
    <w:rsid w:val="00A31962"/>
    <w:rsid w:val="00A6148D"/>
    <w:rsid w:val="00A747D3"/>
    <w:rsid w:val="00A90ABA"/>
    <w:rsid w:val="00AA3E2B"/>
    <w:rsid w:val="00AB61B5"/>
    <w:rsid w:val="00AE7760"/>
    <w:rsid w:val="00B036E3"/>
    <w:rsid w:val="00B13041"/>
    <w:rsid w:val="00BA1BF8"/>
    <w:rsid w:val="00BB3C1D"/>
    <w:rsid w:val="00BC60A0"/>
    <w:rsid w:val="00BE35D3"/>
    <w:rsid w:val="00BE3C55"/>
    <w:rsid w:val="00BF05FA"/>
    <w:rsid w:val="00BF43FF"/>
    <w:rsid w:val="00BF52E0"/>
    <w:rsid w:val="00C22E79"/>
    <w:rsid w:val="00C424B9"/>
    <w:rsid w:val="00C62F8F"/>
    <w:rsid w:val="00CC3D74"/>
    <w:rsid w:val="00CD0AD4"/>
    <w:rsid w:val="00CE1A70"/>
    <w:rsid w:val="00CF05FD"/>
    <w:rsid w:val="00D53E86"/>
    <w:rsid w:val="00D736F8"/>
    <w:rsid w:val="00D82495"/>
    <w:rsid w:val="00D86143"/>
    <w:rsid w:val="00D91A1E"/>
    <w:rsid w:val="00D93E4A"/>
    <w:rsid w:val="00D94AFF"/>
    <w:rsid w:val="00D97C02"/>
    <w:rsid w:val="00DB541A"/>
    <w:rsid w:val="00DF29DF"/>
    <w:rsid w:val="00E42CAF"/>
    <w:rsid w:val="00E443B9"/>
    <w:rsid w:val="00E458A6"/>
    <w:rsid w:val="00E520E6"/>
    <w:rsid w:val="00E66CE2"/>
    <w:rsid w:val="00E70792"/>
    <w:rsid w:val="00E76612"/>
    <w:rsid w:val="00EB5886"/>
    <w:rsid w:val="00F740ED"/>
    <w:rsid w:val="00FB69AE"/>
    <w:rsid w:val="00FD5D56"/>
    <w:rsid w:val="00FE084D"/>
    <w:rsid w:val="00FE70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162ED0"/>
  <w15:chartTrackingRefBased/>
  <w15:docId w15:val="{59B9B081-1316-4B2C-9D1D-FBDAB809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125"/>
    <w:pPr>
      <w:jc w:val="both"/>
    </w:pPr>
    <w:rPr>
      <w:rFonts w:ascii="Arial" w:hAnsi="Arial"/>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le">
    <w:name w:val="Title"/>
    <w:basedOn w:val="Normal"/>
    <w:link w:val="TitleChar"/>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NoList"/>
    <w:rsid w:val="00227125"/>
    <w:pPr>
      <w:numPr>
        <w:numId w:val="2"/>
      </w:numPr>
    </w:pPr>
  </w:style>
  <w:style w:type="paragraph" w:customStyle="1" w:styleId="Abbildungsbeschriftung">
    <w:name w:val="Abbildungsbeschriftung"/>
    <w:basedOn w:val="Normal"/>
    <w:rsid w:val="002946B8"/>
    <w:rPr>
      <w:i/>
      <w:iCs/>
    </w:rPr>
  </w:style>
  <w:style w:type="character" w:customStyle="1" w:styleId="TitleChar">
    <w:name w:val="Title Char"/>
    <w:link w:val="Title"/>
    <w:rsid w:val="005E4D4F"/>
    <w:rPr>
      <w:rFonts w:ascii="Arial" w:hAnsi="Arial"/>
      <w:b/>
      <w:snapToGrid w:val="0"/>
      <w:kern w:val="28"/>
      <w:sz w:val="32"/>
      <w:lang w:val="de-DE" w:eastAsia="en-US" w:bidi="ar-SA"/>
    </w:rPr>
  </w:style>
  <w:style w:type="paragraph" w:customStyle="1" w:styleId="Ueberschrift">
    <w:name w:val="Ueberschrift"/>
    <w:basedOn w:val="Normal"/>
    <w:link w:val="UeberschriftChar"/>
    <w:rsid w:val="00A07737"/>
    <w:pPr>
      <w:spacing w:before="120" w:after="120"/>
    </w:pPr>
    <w:rPr>
      <w:b/>
      <w:spacing w:val="-5"/>
      <w:sz w:val="22"/>
      <w:lang w:eastAsia="de-DE"/>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le"/>
    <w:rsid w:val="005E4D4F"/>
    <w:rPr>
      <w:rFonts w:cs="Arial"/>
    </w:rPr>
  </w:style>
  <w:style w:type="paragraph" w:customStyle="1" w:styleId="AutorenOrganisation">
    <w:name w:val="Autoren &amp; Organisation"/>
    <w:basedOn w:val="Normal"/>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customStyle="1" w:styleId="Literatur">
    <w:name w:val="Literatur"/>
    <w:basedOn w:val="Normal"/>
    <w:rsid w:val="005E4D4F"/>
    <w:pPr>
      <w:ind w:left="284" w:hanging="284"/>
    </w:pPr>
    <w:rPr>
      <w:rFonts w:cs="Arial"/>
      <w:szCs w:val="20"/>
      <w:lang w:eastAsia="de-DE"/>
    </w:rPr>
  </w:style>
  <w:style w:type="paragraph" w:customStyle="1" w:styleId="abstract">
    <w:name w:val="abstract"/>
    <w:basedOn w:val="Normal"/>
    <w:rsid w:val="007A5442"/>
    <w:pPr>
      <w:spacing w:before="100" w:beforeAutospacing="1" w:after="100" w:afterAutospacing="1"/>
      <w:jc w:val="left"/>
    </w:pPr>
    <w:rPr>
      <w:rFonts w:ascii="Times New Roman" w:hAnsi="Times New Roman"/>
      <w:sz w:val="24"/>
      <w:lang w:val="de-AT" w:eastAsia="de-AT"/>
    </w:rPr>
  </w:style>
  <w:style w:type="paragraph" w:customStyle="1" w:styleId="Default">
    <w:name w:val="Default"/>
    <w:rsid w:val="00525D24"/>
    <w:pPr>
      <w:autoSpaceDE w:val="0"/>
      <w:autoSpaceDN w:val="0"/>
      <w:adjustRightInd w:val="0"/>
    </w:pPr>
    <w:rPr>
      <w:rFonts w:ascii="Arial" w:hAnsi="Arial" w:cs="Arial"/>
      <w:color w:val="000000"/>
      <w:sz w:val="24"/>
      <w:szCs w:val="24"/>
      <w:lang w:val="en-US"/>
    </w:rPr>
  </w:style>
  <w:style w:type="paragraph" w:customStyle="1" w:styleId="AbstractText">
    <w:name w:val="Abstract Text"/>
    <w:next w:val="Normal"/>
    <w:rsid w:val="00161CC5"/>
    <w:pPr>
      <w:widowControl w:val="0"/>
      <w:spacing w:before="240"/>
      <w:jc w:val="both"/>
      <w:outlineLvl w:val="1"/>
    </w:pPr>
    <w:rPr>
      <w:lang w:val="en-GB" w:eastAsia="en-US"/>
    </w:rPr>
  </w:style>
  <w:style w:type="paragraph" w:styleId="ListParagraph">
    <w:name w:val="List Paragraph"/>
    <w:basedOn w:val="Normal"/>
    <w:uiPriority w:val="34"/>
    <w:qFormat/>
    <w:rsid w:val="003F48B8"/>
    <w:pPr>
      <w:spacing w:before="60" w:after="60"/>
      <w:ind w:left="720"/>
      <w:contextualSpacing/>
      <w:jc w:val="left"/>
    </w:pPr>
    <w:rPr>
      <w:rFonts w:ascii="Times New Roman" w:hAnsi="Times New Roman"/>
      <w:sz w:val="24"/>
      <w:szCs w:val="20"/>
      <w:lang w:eastAsia="de-DE"/>
    </w:rPr>
  </w:style>
  <w:style w:type="character" w:styleId="Hyperlink">
    <w:name w:val="Hyperlink"/>
    <w:basedOn w:val="DefaultParagraphFont"/>
    <w:uiPriority w:val="99"/>
    <w:unhideWhenUsed/>
    <w:rsid w:val="004C2477"/>
    <w:rPr>
      <w:color w:val="0563C1" w:themeColor="hyperlink"/>
      <w:u w:val="single"/>
    </w:rPr>
  </w:style>
  <w:style w:type="character" w:styleId="UnresolvedMention">
    <w:name w:val="Unresolved Mention"/>
    <w:basedOn w:val="DefaultParagraphFont"/>
    <w:uiPriority w:val="99"/>
    <w:semiHidden/>
    <w:unhideWhenUsed/>
    <w:rsid w:val="004C2477"/>
    <w:rPr>
      <w:color w:val="605E5C"/>
      <w:shd w:val="clear" w:color="auto" w:fill="E1DFDD"/>
    </w:rPr>
  </w:style>
  <w:style w:type="paragraph" w:styleId="Bibliography">
    <w:name w:val="Bibliography"/>
    <w:basedOn w:val="Normal"/>
    <w:next w:val="Normal"/>
    <w:uiPriority w:val="37"/>
    <w:unhideWhenUsed/>
    <w:rsid w:val="0052135F"/>
    <w:pPr>
      <w:tabs>
        <w:tab w:val="left" w:pos="384"/>
      </w:tabs>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1242">
      <w:bodyDiv w:val="1"/>
      <w:marLeft w:val="0"/>
      <w:marRight w:val="0"/>
      <w:marTop w:val="0"/>
      <w:marBottom w:val="0"/>
      <w:divBdr>
        <w:top w:val="none" w:sz="0" w:space="0" w:color="auto"/>
        <w:left w:val="none" w:sz="0" w:space="0" w:color="auto"/>
        <w:bottom w:val="none" w:sz="0" w:space="0" w:color="auto"/>
        <w:right w:val="none" w:sz="0" w:space="0" w:color="auto"/>
      </w:divBdr>
    </w:div>
    <w:div w:id="186407965">
      <w:bodyDiv w:val="1"/>
      <w:marLeft w:val="0"/>
      <w:marRight w:val="0"/>
      <w:marTop w:val="0"/>
      <w:marBottom w:val="0"/>
      <w:divBdr>
        <w:top w:val="none" w:sz="0" w:space="0" w:color="auto"/>
        <w:left w:val="none" w:sz="0" w:space="0" w:color="auto"/>
        <w:bottom w:val="none" w:sz="0" w:space="0" w:color="auto"/>
        <w:right w:val="none" w:sz="0" w:space="0" w:color="auto"/>
      </w:divBdr>
    </w:div>
    <w:div w:id="448427467">
      <w:bodyDiv w:val="1"/>
      <w:marLeft w:val="0"/>
      <w:marRight w:val="0"/>
      <w:marTop w:val="0"/>
      <w:marBottom w:val="0"/>
      <w:divBdr>
        <w:top w:val="none" w:sz="0" w:space="0" w:color="auto"/>
        <w:left w:val="none" w:sz="0" w:space="0" w:color="auto"/>
        <w:bottom w:val="none" w:sz="0" w:space="0" w:color="auto"/>
        <w:right w:val="none" w:sz="0" w:space="0" w:color="auto"/>
      </w:divBdr>
    </w:div>
    <w:div w:id="472255226">
      <w:bodyDiv w:val="1"/>
      <w:marLeft w:val="0"/>
      <w:marRight w:val="0"/>
      <w:marTop w:val="0"/>
      <w:marBottom w:val="0"/>
      <w:divBdr>
        <w:top w:val="none" w:sz="0" w:space="0" w:color="auto"/>
        <w:left w:val="none" w:sz="0" w:space="0" w:color="auto"/>
        <w:bottom w:val="none" w:sz="0" w:space="0" w:color="auto"/>
        <w:right w:val="none" w:sz="0" w:space="0" w:color="auto"/>
      </w:divBdr>
    </w:div>
    <w:div w:id="937130736">
      <w:bodyDiv w:val="1"/>
      <w:marLeft w:val="0"/>
      <w:marRight w:val="0"/>
      <w:marTop w:val="0"/>
      <w:marBottom w:val="0"/>
      <w:divBdr>
        <w:top w:val="none" w:sz="0" w:space="0" w:color="auto"/>
        <w:left w:val="none" w:sz="0" w:space="0" w:color="auto"/>
        <w:bottom w:val="none" w:sz="0" w:space="0" w:color="auto"/>
        <w:right w:val="none" w:sz="0" w:space="0" w:color="auto"/>
      </w:divBdr>
    </w:div>
    <w:div w:id="1195384101">
      <w:bodyDiv w:val="1"/>
      <w:marLeft w:val="0"/>
      <w:marRight w:val="0"/>
      <w:marTop w:val="0"/>
      <w:marBottom w:val="0"/>
      <w:divBdr>
        <w:top w:val="none" w:sz="0" w:space="0" w:color="auto"/>
        <w:left w:val="none" w:sz="0" w:space="0" w:color="auto"/>
        <w:bottom w:val="none" w:sz="0" w:space="0" w:color="auto"/>
        <w:right w:val="none" w:sz="0" w:space="0" w:color="auto"/>
      </w:divBdr>
    </w:div>
    <w:div w:id="1261181932">
      <w:bodyDiv w:val="1"/>
      <w:marLeft w:val="0"/>
      <w:marRight w:val="0"/>
      <w:marTop w:val="0"/>
      <w:marBottom w:val="0"/>
      <w:divBdr>
        <w:top w:val="none" w:sz="0" w:space="0" w:color="auto"/>
        <w:left w:val="none" w:sz="0" w:space="0" w:color="auto"/>
        <w:bottom w:val="none" w:sz="0" w:space="0" w:color="auto"/>
        <w:right w:val="none" w:sz="0" w:space="0" w:color="auto"/>
      </w:divBdr>
    </w:div>
    <w:div w:id="1263611381">
      <w:bodyDiv w:val="1"/>
      <w:marLeft w:val="0"/>
      <w:marRight w:val="0"/>
      <w:marTop w:val="0"/>
      <w:marBottom w:val="0"/>
      <w:divBdr>
        <w:top w:val="none" w:sz="0" w:space="0" w:color="auto"/>
        <w:left w:val="none" w:sz="0" w:space="0" w:color="auto"/>
        <w:bottom w:val="none" w:sz="0" w:space="0" w:color="auto"/>
        <w:right w:val="none" w:sz="0" w:space="0" w:color="auto"/>
      </w:divBdr>
    </w:div>
    <w:div w:id="1565334160">
      <w:bodyDiv w:val="1"/>
      <w:marLeft w:val="0"/>
      <w:marRight w:val="0"/>
      <w:marTop w:val="0"/>
      <w:marBottom w:val="0"/>
      <w:divBdr>
        <w:top w:val="none" w:sz="0" w:space="0" w:color="auto"/>
        <w:left w:val="none" w:sz="0" w:space="0" w:color="auto"/>
        <w:bottom w:val="none" w:sz="0" w:space="0" w:color="auto"/>
        <w:right w:val="none" w:sz="0" w:space="0" w:color="auto"/>
      </w:divBdr>
    </w:div>
    <w:div w:id="1872183757">
      <w:bodyDiv w:val="1"/>
      <w:marLeft w:val="0"/>
      <w:marRight w:val="0"/>
      <w:marTop w:val="0"/>
      <w:marBottom w:val="0"/>
      <w:divBdr>
        <w:top w:val="none" w:sz="0" w:space="0" w:color="auto"/>
        <w:left w:val="none" w:sz="0" w:space="0" w:color="auto"/>
        <w:bottom w:val="none" w:sz="0" w:space="0" w:color="auto"/>
        <w:right w:val="none" w:sz="0" w:space="0" w:color="auto"/>
      </w:divBdr>
    </w:div>
    <w:div w:id="1965118319">
      <w:bodyDiv w:val="1"/>
      <w:marLeft w:val="0"/>
      <w:marRight w:val="0"/>
      <w:marTop w:val="0"/>
      <w:marBottom w:val="0"/>
      <w:divBdr>
        <w:top w:val="none" w:sz="0" w:space="0" w:color="auto"/>
        <w:left w:val="none" w:sz="0" w:space="0" w:color="auto"/>
        <w:bottom w:val="none" w:sz="0" w:space="0" w:color="auto"/>
        <w:right w:val="none" w:sz="0" w:space="0" w:color="auto"/>
      </w:divBdr>
    </w:div>
    <w:div w:id="20732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6CE73-3500-4430-96DC-297240091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1532</Words>
  <Characters>8734</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Titel</vt:lpstr>
      <vt:lpstr>Titel</vt:lpstr>
    </vt:vector>
  </TitlesOfParts>
  <Company>TU-Wien Campuslizenz</Company>
  <LinksUpToDate>false</LinksUpToDate>
  <CharactersWithSpaces>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Gerald</dc:creator>
  <cp:keywords/>
  <cp:lastModifiedBy>sayer</cp:lastModifiedBy>
  <cp:revision>3</cp:revision>
  <cp:lastPrinted>2021-06-23T19:20:00Z</cp:lastPrinted>
  <dcterms:created xsi:type="dcterms:W3CDTF">2022-11-22T11:52:00Z</dcterms:created>
  <dcterms:modified xsi:type="dcterms:W3CDTF">2022-11-22T11:53:00Z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zotero-version="6.0.18"&gt;&lt;session id="qU0ZkiuE"/&gt;&lt;style id="http://www.zotero.org/styles/ieee" locale="en-US" hasBibliography="1" bibliographyStyleHasBeenSet="1"/&gt;&lt;prefs&gt;&lt;pref name="fieldType" value="Field"/&gt;&lt;/prefs&gt;&lt;/data&gt;</vt:lpwstr>
  </property>
</Properties>
</file>