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D764" w14:textId="77777777" w:rsidR="00D340AA" w:rsidRDefault="00D340AA" w:rsidP="00E8171E">
      <w:pPr>
        <w:pStyle w:val="Abstract-Titel"/>
      </w:pPr>
      <w:r w:rsidRPr="008D57F6">
        <w:t>Regulatorischer Rahmen für Flexibilitäts</w:t>
      </w:r>
      <w:r w:rsidR="00E8171E" w:rsidRPr="008D57F6">
        <w:t>leistungen</w:t>
      </w:r>
      <w:r w:rsidRPr="008D57F6">
        <w:t xml:space="preserve"> </w:t>
      </w:r>
      <w:r w:rsidR="00E8171E" w:rsidRPr="008D57F6">
        <w:t xml:space="preserve">in </w:t>
      </w:r>
      <w:r w:rsidRPr="008D57F6">
        <w:t>Verteilernetz</w:t>
      </w:r>
      <w:r w:rsidR="00E8171E" w:rsidRPr="008D57F6">
        <w:t>en</w:t>
      </w:r>
    </w:p>
    <w:p w14:paraId="0467DF7D" w14:textId="77777777" w:rsidR="00BF05FA" w:rsidRDefault="00BF05FA" w:rsidP="00A156E4">
      <w:pPr>
        <w:pStyle w:val="AutorenOrganisation"/>
      </w:pPr>
      <w:r>
        <w:t>Themenbereich</w:t>
      </w:r>
      <w:r w:rsidR="00625DFE">
        <w:t xml:space="preserve"> </w:t>
      </w:r>
      <w:r w:rsidR="00625DFE" w:rsidRPr="00625DFE">
        <w:t>3</w:t>
      </w:r>
      <w:r w:rsidR="00625DFE">
        <w:t>:</w:t>
      </w:r>
      <w:r w:rsidR="00625DFE" w:rsidRPr="00625DFE">
        <w:t xml:space="preserve"> Sektorkopplung und Flexibilität</w:t>
      </w:r>
    </w:p>
    <w:p w14:paraId="1FF56ED1" w14:textId="77777777" w:rsidR="005E4D4F" w:rsidRPr="005E4D4F" w:rsidRDefault="00E333DD" w:rsidP="00A156E4">
      <w:pPr>
        <w:pStyle w:val="AutorenOrganisation"/>
      </w:pPr>
      <w:r>
        <w:t>Gerald</w:t>
      </w:r>
      <w:r w:rsidR="005E4D4F" w:rsidRPr="005E4D4F">
        <w:t xml:space="preserve"> </w:t>
      </w:r>
      <w:r>
        <w:t>KALT</w:t>
      </w:r>
      <w:r w:rsidR="005E4D4F" w:rsidRPr="00010E92">
        <w:rPr>
          <w:vertAlign w:val="superscript"/>
        </w:rPr>
        <w:footnoteReference w:id="1"/>
      </w:r>
      <w:bookmarkStart w:id="0" w:name="_Hlk116294759"/>
      <w:r w:rsidR="008533C3" w:rsidRPr="008533C3">
        <w:rPr>
          <w:vertAlign w:val="superscript"/>
        </w:rPr>
        <w:t>(1</w:t>
      </w:r>
      <w:r w:rsidR="008533C3">
        <w:rPr>
          <w:vertAlign w:val="superscript"/>
        </w:rPr>
        <w:t>)</w:t>
      </w:r>
      <w:bookmarkEnd w:id="0"/>
      <w:r w:rsidR="008533C3">
        <w:t xml:space="preserve">, Sven </w:t>
      </w:r>
      <w:r w:rsidR="008533C3" w:rsidRPr="008533C3">
        <w:rPr>
          <w:caps/>
        </w:rPr>
        <w:t>Kaiser</w:t>
      </w:r>
      <w:r w:rsidR="00E7142D" w:rsidRPr="008533C3">
        <w:rPr>
          <w:vertAlign w:val="superscript"/>
        </w:rPr>
        <w:t>(1</w:t>
      </w:r>
      <w:r w:rsidR="00E7142D">
        <w:rPr>
          <w:vertAlign w:val="superscript"/>
        </w:rPr>
        <w:t>)</w:t>
      </w:r>
      <w:r w:rsidR="008533C3">
        <w:t>,</w:t>
      </w:r>
      <w:r w:rsidR="004C63A4">
        <w:t xml:space="preserve"> Alexander </w:t>
      </w:r>
      <w:r w:rsidR="004C63A4" w:rsidRPr="004C63A4">
        <w:rPr>
          <w:caps/>
        </w:rPr>
        <w:t>Kabinger</w:t>
      </w:r>
      <w:r w:rsidR="004C63A4" w:rsidRPr="008533C3">
        <w:rPr>
          <w:vertAlign w:val="superscript"/>
        </w:rPr>
        <w:t>(1</w:t>
      </w:r>
      <w:r w:rsidR="004C63A4">
        <w:rPr>
          <w:vertAlign w:val="superscript"/>
        </w:rPr>
        <w:t>)</w:t>
      </w:r>
    </w:p>
    <w:p w14:paraId="25A90871" w14:textId="77777777" w:rsidR="005E4D4F" w:rsidRDefault="00A156E4" w:rsidP="005E4D4F">
      <w:pPr>
        <w:pStyle w:val="AutorenOrganisation"/>
      </w:pPr>
      <w:bookmarkStart w:id="1" w:name="_Hlk118977502"/>
      <w:r>
        <w:rPr>
          <w:vertAlign w:val="superscript"/>
        </w:rPr>
        <w:t>(</w:t>
      </w:r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E333DD" w:rsidRPr="00E333DD">
        <w:t xml:space="preserve"> </w:t>
      </w:r>
      <w:bookmarkEnd w:id="1"/>
      <w:r w:rsidR="00E333DD" w:rsidRPr="00E333DD">
        <w:t xml:space="preserve">E-Control </w:t>
      </w:r>
    </w:p>
    <w:p w14:paraId="60B59996" w14:textId="77777777" w:rsidR="00A07737" w:rsidRPr="005E4D4F" w:rsidRDefault="00A07737" w:rsidP="00FB69AE">
      <w:pPr>
        <w:rPr>
          <w:lang w:val="de-AT"/>
        </w:rPr>
      </w:pPr>
    </w:p>
    <w:p w14:paraId="31D1F4B9" w14:textId="77777777" w:rsidR="005E4D4F" w:rsidRDefault="005E4D4F" w:rsidP="005E4D4F">
      <w:pPr>
        <w:pStyle w:val="Ueberschrift"/>
      </w:pPr>
      <w:r w:rsidRPr="005E4D4F">
        <w:t>Motivation und zentrale Fragestellung</w:t>
      </w:r>
    </w:p>
    <w:p w14:paraId="5EA61FE4" w14:textId="77777777" w:rsidR="009905B1" w:rsidRDefault="005F5F3A" w:rsidP="00E333DD">
      <w:r>
        <w:t xml:space="preserve">Bislang wurde die zum Ausgleich zwischen Stromerzeugung und -verbrauch sowie zur Behebung von Netzengpässen erforderliche Flexibilität im Stromsystem fast ausschließlich erzeugungsseitig, </w:t>
      </w:r>
      <w:r w:rsidR="00233453">
        <w:t xml:space="preserve">d.h. </w:t>
      </w:r>
      <w:r>
        <w:t xml:space="preserve">durch regelbare Kraftwerke aufbracht. </w:t>
      </w:r>
      <w:r w:rsidR="0063233A">
        <w:t>Eine verstärkte</w:t>
      </w:r>
      <w:r>
        <w:t xml:space="preserve"> verbrauchsseitige Erbringung von Flexibilitäts</w:t>
      </w:r>
      <w:r w:rsidR="0063233A">
        <w:softHyphen/>
      </w:r>
      <w:r>
        <w:t>leistungen sowie Last-, Erzeugungs- und Speichermanagement bei Anlagen</w:t>
      </w:r>
      <w:r w:rsidR="00233453">
        <w:t xml:space="preserve"> von Netzbenutzern</w:t>
      </w:r>
      <w:r>
        <w:t xml:space="preserve"> werden weithin als Grundvoraussetzungen für </w:t>
      </w:r>
      <w:r w:rsidR="00233453">
        <w:t>zukunftsfähige</w:t>
      </w:r>
      <w:r>
        <w:t>, auf erneuerbaren Energieträgern basierende Stromsysteme erachtet</w:t>
      </w:r>
      <w:r w:rsidR="00233453">
        <w:t xml:space="preserve"> </w:t>
      </w:r>
      <w:r w:rsidR="008D3875">
        <w:fldChar w:fldCharType="begin"/>
      </w:r>
      <w:r w:rsidR="008D3875">
        <w:instrText xml:space="preserve"> REF _Ref116396257 \h </w:instrText>
      </w:r>
      <w:r w:rsidR="008D3875">
        <w:fldChar w:fldCharType="separate"/>
      </w:r>
      <w:r w:rsidR="008D3875" w:rsidRPr="008D3875">
        <w:t>[</w:t>
      </w:r>
      <w:r w:rsidR="008D3875" w:rsidRPr="008D3875">
        <w:rPr>
          <w:noProof/>
        </w:rPr>
        <w:t>1</w:t>
      </w:r>
      <w:r w:rsidR="008D3875">
        <w:fldChar w:fldCharType="end"/>
      </w:r>
      <w:r w:rsidR="003A6B64">
        <w:t>]</w:t>
      </w:r>
      <w:r>
        <w:t xml:space="preserve">. </w:t>
      </w:r>
    </w:p>
    <w:p w14:paraId="262260FF" w14:textId="77777777" w:rsidR="00E333DD" w:rsidRPr="00E333DD" w:rsidRDefault="00D032C1" w:rsidP="00E333DD">
      <w:r>
        <w:t xml:space="preserve">Der in Österreich bislang nicht vollständig umgesetzte </w:t>
      </w:r>
      <w:r w:rsidR="009905B1">
        <w:t xml:space="preserve">Artikel 32 der </w:t>
      </w:r>
      <w:r w:rsidR="009905B1" w:rsidRPr="009905B1">
        <w:t>Elektrizitätsbinnenmarkt</w:t>
      </w:r>
      <w:r w:rsidR="009905B1">
        <w:t>richtlinie RL</w:t>
      </w:r>
      <w:r>
        <w:t> </w:t>
      </w:r>
      <w:r w:rsidR="009905B1">
        <w:t>(EU)</w:t>
      </w:r>
      <w:r>
        <w:t> </w:t>
      </w:r>
      <w:r w:rsidR="009905B1">
        <w:t>2019/944 sieht einen regulatorischen Rahmen vor, der Verteilernetzbetreiber</w:t>
      </w:r>
      <w:r w:rsidR="000B227C">
        <w:t xml:space="preserve"> (VNB)</w:t>
      </w:r>
      <w:r w:rsidR="009905B1">
        <w:t xml:space="preserve"> dazu anhält und ihnen Anreize bietet, Flexibilität von Netzbenutzern </w:t>
      </w:r>
      <w:r w:rsidR="004C63A4">
        <w:t>einzusetzen</w:t>
      </w:r>
      <w:r w:rsidR="009905B1">
        <w:t xml:space="preserve">, um die Kosteneffizienz und Zuverlässigkeit ihrer Netze zu steigern. </w:t>
      </w:r>
      <w:r w:rsidR="0063233A">
        <w:t>Der vorliegende Beitrag untersucht</w:t>
      </w:r>
      <w:r w:rsidR="004C63A4">
        <w:t xml:space="preserve">, wie </w:t>
      </w:r>
      <w:r w:rsidR="00D340AA">
        <w:t>ein</w:t>
      </w:r>
      <w:r w:rsidR="004C63A4">
        <w:t xml:space="preserve"> regulatorische</w:t>
      </w:r>
      <w:r w:rsidR="00D340AA">
        <w:t>r</w:t>
      </w:r>
      <w:r w:rsidR="004C63A4">
        <w:t xml:space="preserve"> Rahmen zur</w:t>
      </w:r>
      <w:r w:rsidR="0063233A">
        <w:t xml:space="preserve"> Beschaffung von Flexibilitätsleistungen in Österreich </w:t>
      </w:r>
      <w:r w:rsidR="004C63A4">
        <w:t>ausgestaltet</w:t>
      </w:r>
      <w:r w:rsidR="0063233A">
        <w:t xml:space="preserve"> werden kann</w:t>
      </w:r>
      <w:r w:rsidR="004C63A4">
        <w:t xml:space="preserve">, </w:t>
      </w:r>
      <w:r w:rsidR="00F16EC5">
        <w:t xml:space="preserve">der den </w:t>
      </w:r>
      <w:r w:rsidR="004C63A4">
        <w:t xml:space="preserve">unionsrechtlichen Vorgaben gerecht </w:t>
      </w:r>
      <w:r w:rsidR="00F16EC5">
        <w:t>wird und Kosteneffizienz und Systemsicherheit fördert</w:t>
      </w:r>
      <w:r w:rsidR="0063233A">
        <w:t xml:space="preserve">. </w:t>
      </w:r>
    </w:p>
    <w:p w14:paraId="0FEFD116" w14:textId="77777777" w:rsidR="005E4D4F" w:rsidRPr="005E4D4F" w:rsidRDefault="005E4D4F" w:rsidP="00227125"/>
    <w:p w14:paraId="7E34E02D" w14:textId="77777777" w:rsidR="005E4D4F" w:rsidRPr="005E4D4F" w:rsidRDefault="005E4D4F" w:rsidP="005E4D4F">
      <w:pPr>
        <w:pStyle w:val="Ueberschrift"/>
      </w:pPr>
      <w:r w:rsidRPr="005E4D4F">
        <w:t>Methodische Vorgangsweise</w:t>
      </w:r>
    </w:p>
    <w:p w14:paraId="4D891E79" w14:textId="77777777" w:rsidR="00E333DD" w:rsidRDefault="00B13DE7" w:rsidP="00227125">
      <w:r>
        <w:t>Die methodische Vorgangsweise umfasst eine Literaturrecherche</w:t>
      </w:r>
      <w:r w:rsidR="00233453">
        <w:t>,</w:t>
      </w:r>
      <w:r>
        <w:t xml:space="preserve"> die Analyse</w:t>
      </w:r>
      <w:r w:rsidR="00233453">
        <w:t xml:space="preserve"> der Rechtstexte</w:t>
      </w:r>
      <w:r>
        <w:t xml:space="preserve"> </w:t>
      </w:r>
      <w:r w:rsidR="00233453">
        <w:t xml:space="preserve">sowie eine </w:t>
      </w:r>
      <w:r>
        <w:t xml:space="preserve">Auswertung von Informationen zu möglichen regulatorischen Rahmenbedingungen und Flexibilitätsbeschaffungsverfahren. Besonderes Augenmerk wird dabei auf Erfahrungen und </w:t>
      </w:r>
      <w:r w:rsidR="00D1403C">
        <w:t>Umsetzungsb</w:t>
      </w:r>
      <w:r>
        <w:t>eispiele aus anderen Mitgliedsstaaten der EU gelegt. Anhand dieser Erfahrungen und Beispiele werden Vor- und Nachteile verschiedener Optionen diskutiert, Zielvorstellungen erarbeitet und Eckpunkte eines möglichen zukünftigen regulatorischen Rahmens skizziert.</w:t>
      </w:r>
      <w:r w:rsidR="00711AD0">
        <w:t xml:space="preserve"> Berücksichtigung finden dabei auch die </w:t>
      </w:r>
      <w:r w:rsidR="00B77255">
        <w:t>Inhalte</w:t>
      </w:r>
      <w:r w:rsidR="00711AD0">
        <w:t xml:space="preserve"> des </w:t>
      </w:r>
      <w:r w:rsidR="00B77255">
        <w:t>im Sommer 2022</w:t>
      </w:r>
      <w:r w:rsidR="00711AD0">
        <w:t xml:space="preserve"> von der </w:t>
      </w:r>
      <w:r w:rsidR="00711AD0" w:rsidRPr="00711AD0">
        <w:t>Agentur für die Zusammenarbeit der Energieregulierungsbehörden</w:t>
      </w:r>
      <w:r w:rsidR="00711AD0">
        <w:t xml:space="preserve"> der EU</w:t>
      </w:r>
      <w:r w:rsidR="00711AD0" w:rsidRPr="00711AD0">
        <w:t xml:space="preserve"> (ACER</w:t>
      </w:r>
      <w:r w:rsidR="00711AD0">
        <w:t>) konsultierten Entwurfes für eine Rahmenleitlinie für Laststeuerung (</w:t>
      </w:r>
      <w:r w:rsidR="00D032C1">
        <w:t>D</w:t>
      </w:r>
      <w:r w:rsidR="00711AD0">
        <w:t xml:space="preserve">raft </w:t>
      </w:r>
      <w:r w:rsidR="00D032C1">
        <w:t>F</w:t>
      </w:r>
      <w:r w:rsidR="00711AD0">
        <w:t xml:space="preserve">ramework </w:t>
      </w:r>
      <w:r w:rsidR="00D032C1">
        <w:t>G</w:t>
      </w:r>
      <w:r w:rsidR="00711AD0">
        <w:t xml:space="preserve">uideline on </w:t>
      </w:r>
      <w:r w:rsidR="00D032C1">
        <w:t>D</w:t>
      </w:r>
      <w:r w:rsidR="00711AD0">
        <w:t xml:space="preserve">emand </w:t>
      </w:r>
      <w:r w:rsidR="00D032C1">
        <w:t>R</w:t>
      </w:r>
      <w:r w:rsidR="00711AD0">
        <w:t>esponse</w:t>
      </w:r>
      <w:r w:rsidR="00FF3244">
        <w:t>; kurz: „Framework Guideline“</w:t>
      </w:r>
      <w:r w:rsidR="003A6B64">
        <w:t xml:space="preserve">, siehe </w:t>
      </w:r>
      <w:r w:rsidR="008D3875">
        <w:fldChar w:fldCharType="begin"/>
      </w:r>
      <w:r w:rsidR="008D3875">
        <w:instrText xml:space="preserve"> REF _Ref116396274 \h </w:instrText>
      </w:r>
      <w:r w:rsidR="008D3875">
        <w:fldChar w:fldCharType="separate"/>
      </w:r>
      <w:r w:rsidR="008D3875" w:rsidRPr="008D3875">
        <w:t>[</w:t>
      </w:r>
      <w:r w:rsidR="008D3875">
        <w:rPr>
          <w:noProof/>
        </w:rPr>
        <w:t>2</w:t>
      </w:r>
      <w:r w:rsidR="008D3875">
        <w:fldChar w:fldCharType="end"/>
      </w:r>
      <w:r w:rsidR="003A6B64">
        <w:t>]</w:t>
      </w:r>
      <w:r w:rsidR="00711AD0">
        <w:t>)</w:t>
      </w:r>
      <w:r w:rsidR="003D50BC">
        <w:t>.</w:t>
      </w:r>
    </w:p>
    <w:p w14:paraId="2062F92D" w14:textId="77777777" w:rsidR="005E4D4F" w:rsidRPr="005E4D4F" w:rsidRDefault="005E4D4F" w:rsidP="00227125"/>
    <w:p w14:paraId="0FFDF86F" w14:textId="77777777" w:rsidR="005E4D4F" w:rsidRPr="005E4D4F" w:rsidRDefault="005E4D4F" w:rsidP="005E4D4F">
      <w:pPr>
        <w:pStyle w:val="Ueberschrift"/>
      </w:pPr>
      <w:r w:rsidRPr="005E4D4F">
        <w:t>Ergebnisse und Schlussfolgerungen</w:t>
      </w:r>
    </w:p>
    <w:p w14:paraId="1D307FEF" w14:textId="77777777" w:rsidR="00B12902" w:rsidRDefault="006666D7" w:rsidP="00E333DD">
      <w:bookmarkStart w:id="2" w:name="_Hlk118987934"/>
      <w:r>
        <w:t xml:space="preserve">Durch die </w:t>
      </w:r>
      <w:r w:rsidR="007421E1">
        <w:t>Beschaffung von Flexibilitätsleistungen</w:t>
      </w:r>
      <w:r>
        <w:t xml:space="preserve"> erhalten VNB das Recht und die Möglichkeit, </w:t>
      </w:r>
      <w:bookmarkStart w:id="3" w:name="_Hlk118988095"/>
      <w:r w:rsidR="00A90917">
        <w:t xml:space="preserve">in einem vertraglich vereinbarten Ausmaß </w:t>
      </w:r>
      <w:r w:rsidR="00A0383B">
        <w:t>Änderungen der</w:t>
      </w:r>
      <w:r>
        <w:t xml:space="preserve"> Einspeise- oder Bezugsleistung von Netzbenutzern </w:t>
      </w:r>
      <w:r w:rsidR="00A90917" w:rsidRPr="00A90917">
        <w:t xml:space="preserve">vorzunehmen oder </w:t>
      </w:r>
      <w:r w:rsidR="00A0383B">
        <w:t>anzufordern</w:t>
      </w:r>
      <w:r>
        <w:t xml:space="preserve">, </w:t>
      </w:r>
      <w:bookmarkEnd w:id="3"/>
      <w:r>
        <w:t xml:space="preserve">um kritische Netzsituationen </w:t>
      </w:r>
      <w:r w:rsidR="00A0383B">
        <w:t>vorausschauend</w:t>
      </w:r>
      <w:r>
        <w:t xml:space="preserve"> abzuwenden (präventive</w:t>
      </w:r>
      <w:r w:rsidR="00B12902">
        <w:t>r</w:t>
      </w:r>
      <w:r>
        <w:t xml:space="preserve"> </w:t>
      </w:r>
      <w:r w:rsidR="00B12902">
        <w:t>Einsatz</w:t>
      </w:r>
      <w:r>
        <w:t>)</w:t>
      </w:r>
      <w:r w:rsidR="00A0383B">
        <w:t xml:space="preserve"> oder zu beheben (kurative</w:t>
      </w:r>
      <w:r w:rsidR="00B12902">
        <w:t>r</w:t>
      </w:r>
      <w:r w:rsidR="00A0383B">
        <w:t xml:space="preserve"> </w:t>
      </w:r>
      <w:r w:rsidR="00B12902">
        <w:t>Einsatz</w:t>
      </w:r>
      <w:r w:rsidR="00A0383B">
        <w:t>)</w:t>
      </w:r>
      <w:r>
        <w:t xml:space="preserve">. </w:t>
      </w:r>
      <w:r w:rsidR="00A0383B">
        <w:t>Gezielt eingesetzt kann Flexibilitätsbeschaffung</w:t>
      </w:r>
      <w:r w:rsidR="0009665E">
        <w:t xml:space="preserve"> </w:t>
      </w:r>
      <w:r w:rsidR="0009665E" w:rsidRPr="0009665E">
        <w:t xml:space="preserve">bzw. -nutzung </w:t>
      </w:r>
      <w:r w:rsidR="00B12902">
        <w:t>die Systemsicherheit erhöhen, Netzausbaubedarf reduzieren und</w:t>
      </w:r>
      <w:r w:rsidR="00A0383B">
        <w:t xml:space="preserve"> eine</w:t>
      </w:r>
      <w:r w:rsidR="007421E1">
        <w:t xml:space="preserve"> raschere Integration dezentraler Erzeugungsanlagen sowie neuer Verbrauchseinheiten wie Ladestellen für Elektrofahrzeuge </w:t>
      </w:r>
      <w:r w:rsidR="00E8171E">
        <w:t>und</w:t>
      </w:r>
      <w:r w:rsidR="007421E1">
        <w:t xml:space="preserve"> Wärmepumpen ermöglichen. </w:t>
      </w:r>
      <w:bookmarkEnd w:id="2"/>
    </w:p>
    <w:p w14:paraId="68A8C3D8" w14:textId="3F080A23" w:rsidR="00E333DD" w:rsidRDefault="000B227C" w:rsidP="00E333DD">
      <w:r>
        <w:t xml:space="preserve">VNB </w:t>
      </w:r>
      <w:r w:rsidR="007421E1">
        <w:t>werden in Zukunft verpflichtet sein, Flexibilitätsleistungen als Alternative zu Netzausbau bzw.</w:t>
      </w:r>
      <w:r w:rsidR="006666D7">
        <w:t xml:space="preserve"> </w:t>
      </w:r>
      <w:r w:rsidR="008D57F6">
        <w:noBreakHyphen/>
      </w:r>
      <w:r w:rsidR="007421E1">
        <w:t xml:space="preserve">verstärkung in Betracht zu ziehen. </w:t>
      </w:r>
      <w:r w:rsidR="00980E04">
        <w:t>Diesbezügliche Nachweise sowie Transparenz hinsichtlich der geplanten Netzausbau- und Flexibilitätsbeschaffungsvorhaben werden für</w:t>
      </w:r>
      <w:r>
        <w:t xml:space="preserve"> VNB </w:t>
      </w:r>
      <w:r w:rsidR="00980E04">
        <w:t>durch Netzentwicklungspläne (</w:t>
      </w:r>
      <w:r w:rsidR="00D74F6C">
        <w:t>„</w:t>
      </w:r>
      <w:r w:rsidR="00980E04">
        <w:t>V-NEP</w:t>
      </w:r>
      <w:r w:rsidR="00D74F6C">
        <w:t>“</w:t>
      </w:r>
      <w:r w:rsidR="00980E04">
        <w:t xml:space="preserve">) zu erbringen sein. Der Regulierungsbehörde kommt die Aufgabe zu, den regulatorischen Rahmen für die Flexibilitätsbeschaffung durch </w:t>
      </w:r>
      <w:r>
        <w:t xml:space="preserve">VNB </w:t>
      </w:r>
      <w:r w:rsidR="00980E04">
        <w:t>festzulegen (Beschaffungs</w:t>
      </w:r>
      <w:r w:rsidR="007052E0">
        <w:softHyphen/>
      </w:r>
      <w:r w:rsidR="00980E04">
        <w:t xml:space="preserve">verfahren, </w:t>
      </w:r>
      <w:r w:rsidR="00D74F6C">
        <w:t xml:space="preserve">Definition </w:t>
      </w:r>
      <w:r w:rsidR="007052E0">
        <w:t>bzw.</w:t>
      </w:r>
      <w:r w:rsidR="00D74F6C">
        <w:t xml:space="preserve"> Genehmigung der </w:t>
      </w:r>
      <w:r w:rsidR="00980E04">
        <w:t xml:space="preserve">Spezifikationen von Flexibilitätsleistungen), die ordnungsgemäße Veröffentlichung und Konsultierung von </w:t>
      </w:r>
      <w:r w:rsidR="00D74F6C">
        <w:t>V-NEP</w:t>
      </w:r>
      <w:r w:rsidR="00980E04">
        <w:t xml:space="preserve"> zu überwachen und </w:t>
      </w:r>
      <w:r w:rsidR="00A24A1C">
        <w:t xml:space="preserve">somit </w:t>
      </w:r>
      <w:r w:rsidR="00980E04">
        <w:t xml:space="preserve">Transparenz </w:t>
      </w:r>
      <w:r w:rsidR="00A24A1C">
        <w:t>für Marktteilnehmen (</w:t>
      </w:r>
      <w:r w:rsidR="00A24A1C" w:rsidRPr="00A24A1C">
        <w:t>Projekt</w:t>
      </w:r>
      <w:r w:rsidR="008D57F6">
        <w:t>planer</w:t>
      </w:r>
      <w:r w:rsidR="00A24A1C">
        <w:t xml:space="preserve">, Aggregatoren, </w:t>
      </w:r>
      <w:r w:rsidR="00D74F6C">
        <w:t>Flexibilitätsanbieter</w:t>
      </w:r>
      <w:r w:rsidR="00A24A1C">
        <w:t>…) sicherzustellen. Die</w:t>
      </w:r>
      <w:r w:rsidR="00B77255">
        <w:t xml:space="preserve"> Inhalte</w:t>
      </w:r>
      <w:r w:rsidR="00233453">
        <w:t xml:space="preserve"> </w:t>
      </w:r>
      <w:r>
        <w:t>von Artikel 32</w:t>
      </w:r>
      <w:r w:rsidR="00B77255">
        <w:t xml:space="preserve"> </w:t>
      </w:r>
      <w:r w:rsidR="00233453">
        <w:t>sind in Abbildung 1</w:t>
      </w:r>
      <w:r>
        <w:t xml:space="preserve"> als ein auf drei Säulen basierendes Konzept </w:t>
      </w:r>
      <w:r w:rsidR="00B77255">
        <w:t>zusammengefasst</w:t>
      </w:r>
      <w:r w:rsidR="00233453">
        <w:t>.</w:t>
      </w:r>
      <w:r w:rsidR="00A24A1C">
        <w:t xml:space="preserve"> </w:t>
      </w:r>
    </w:p>
    <w:p w14:paraId="2D6E355F" w14:textId="77777777" w:rsidR="00A24A1C" w:rsidRDefault="000B227C" w:rsidP="00E333DD">
      <w:r>
        <w:lastRenderedPageBreak/>
        <w:t xml:space="preserve">Hinsichtlich der Verfahren zur Beschaffung von Flexibilitätsleistungen durch VNB schreibt Artikel 32 vor, dass grundsätzlich marktbasierte Verfahren anzuwenden sind. Ausnahmen davon sind </w:t>
      </w:r>
      <w:r w:rsidR="003E056F">
        <w:t xml:space="preserve">möglich, wenn die Regulierungsbehörde festgestellt hat, dass die </w:t>
      </w:r>
      <w:r>
        <w:t>Gefahr von Marktverzerrungen</w:t>
      </w:r>
      <w:r w:rsidR="003E056F">
        <w:t>,</w:t>
      </w:r>
      <w:r>
        <w:t xml:space="preserve"> </w:t>
      </w:r>
      <w:r w:rsidR="007052E0">
        <w:t>„</w:t>
      </w:r>
      <w:r>
        <w:t>verstärkten Engpässen</w:t>
      </w:r>
      <w:r w:rsidR="007052E0">
        <w:t>“</w:t>
      </w:r>
      <w:r>
        <w:t xml:space="preserve"> oder ökonomischer Ineffizienz </w:t>
      </w:r>
      <w:r w:rsidR="003E056F">
        <w:t>besteht</w:t>
      </w:r>
      <w:r>
        <w:t>.</w:t>
      </w:r>
      <w:r w:rsidR="00C07D45">
        <w:t xml:space="preserve"> Solche Ausnahmen </w:t>
      </w:r>
      <w:r w:rsidR="00F37E23">
        <w:t>sind</w:t>
      </w:r>
      <w:r w:rsidR="00C07D45">
        <w:t xml:space="preserve"> </w:t>
      </w:r>
      <w:r w:rsidR="00E8171E">
        <w:t>beispielsweise</w:t>
      </w:r>
      <w:r w:rsidR="00C07D45">
        <w:t xml:space="preserve"> dann notwendig, wenn eine konkrete Flexibilitätsleistung</w:t>
      </w:r>
      <w:r w:rsidR="00E8171E">
        <w:t xml:space="preserve"> aufgrund der Netztopologie bzw. der Art</w:t>
      </w:r>
      <w:r w:rsidR="00574FC6">
        <w:t xml:space="preserve"> oder Lage des</w:t>
      </w:r>
      <w:r w:rsidR="00E8171E">
        <w:t xml:space="preserve"> </w:t>
      </w:r>
      <w:r w:rsidR="00574FC6">
        <w:t>Engpasses</w:t>
      </w:r>
      <w:r w:rsidR="00C07D45">
        <w:t xml:space="preserve"> nur durch einen oder</w:t>
      </w:r>
      <w:r w:rsidR="00D74F6C">
        <w:t xml:space="preserve"> einige</w:t>
      </w:r>
      <w:r w:rsidR="00C07D45">
        <w:t xml:space="preserve"> wenige Anbieter erbracht werden </w:t>
      </w:r>
      <w:r w:rsidR="00F37E23">
        <w:t xml:space="preserve">kann, sodass der Missbrauch von Marktmacht nicht auszuschließen ist. </w:t>
      </w:r>
      <w:r w:rsidR="00C07D45">
        <w:t>Als Alternative</w:t>
      </w:r>
      <w:r w:rsidR="00E950D2">
        <w:t xml:space="preserve"> oder ergänzend</w:t>
      </w:r>
      <w:r w:rsidR="00C07D45">
        <w:t xml:space="preserve"> zu marktbasierte</w:t>
      </w:r>
      <w:r w:rsidR="00AD2F1A">
        <w:t>r</w:t>
      </w:r>
      <w:r w:rsidR="00C07D45">
        <w:t xml:space="preserve"> </w:t>
      </w:r>
      <w:r w:rsidR="00AD2F1A">
        <w:t>Beschaffung über</w:t>
      </w:r>
      <w:r w:rsidR="00C07D45">
        <w:t xml:space="preserve"> „Flexibilitätsplattformen“</w:t>
      </w:r>
      <w:r w:rsidR="00A90917">
        <w:t xml:space="preserve"> oder Ausschreibugen</w:t>
      </w:r>
      <w:r w:rsidR="00C07D45">
        <w:t xml:space="preserve"> </w:t>
      </w:r>
      <w:r w:rsidR="007052E0">
        <w:t>können</w:t>
      </w:r>
      <w:r w:rsidR="00C05BDE">
        <w:t xml:space="preserve"> etwa</w:t>
      </w:r>
      <w:r w:rsidR="00C07D45">
        <w:t xml:space="preserve"> tarifliche</w:t>
      </w:r>
      <w:r w:rsidR="00F37E23">
        <w:t xml:space="preserve"> </w:t>
      </w:r>
      <w:r w:rsidR="00E534B5">
        <w:t>Regelungen</w:t>
      </w:r>
      <w:r w:rsidR="00C07D45">
        <w:t xml:space="preserve"> </w:t>
      </w:r>
      <w:r w:rsidR="00F37E23">
        <w:t>(bspw. „unterbrechbare Tarife“</w:t>
      </w:r>
      <w:r w:rsidR="00E534B5">
        <w:t xml:space="preserve"> </w:t>
      </w:r>
      <w:r w:rsidR="008D3875">
        <w:fldChar w:fldCharType="begin"/>
      </w:r>
      <w:r w:rsidR="008D3875">
        <w:instrText xml:space="preserve"> REF _Ref116396299 \h </w:instrText>
      </w:r>
      <w:r w:rsidR="008D3875">
        <w:fldChar w:fldCharType="separate"/>
      </w:r>
      <w:r w:rsidR="008D3875" w:rsidRPr="008D3875">
        <w:t>[</w:t>
      </w:r>
      <w:r w:rsidR="008D3875">
        <w:rPr>
          <w:noProof/>
        </w:rPr>
        <w:t>3</w:t>
      </w:r>
      <w:r w:rsidR="008D3875">
        <w:fldChar w:fldCharType="end"/>
      </w:r>
      <w:r w:rsidR="00E534B5">
        <w:t>]</w:t>
      </w:r>
      <w:r w:rsidR="007052E0">
        <w:t>)</w:t>
      </w:r>
      <w:r w:rsidR="00C05BDE">
        <w:t xml:space="preserve"> oder</w:t>
      </w:r>
      <w:r w:rsidR="00D74F6C">
        <w:t xml:space="preserve"> Netzanschlussverträge mit seitens VNB temporär einschränkbarer Einspeise- oder Bezugsleistung </w:t>
      </w:r>
      <w:r w:rsidR="00E534B5">
        <w:t>sein. Ein wesentlicher Nachteil</w:t>
      </w:r>
      <w:r w:rsidR="00CC561A">
        <w:t xml:space="preserve"> dieser Alternativen</w:t>
      </w:r>
      <w:r w:rsidR="00E534B5">
        <w:t xml:space="preserve"> besteht</w:t>
      </w:r>
      <w:r w:rsidR="004E25C5">
        <w:t xml:space="preserve"> jedoch</w:t>
      </w:r>
      <w:r w:rsidR="00E534B5">
        <w:t xml:space="preserve"> darin, dass die Flexibilität</w:t>
      </w:r>
      <w:r w:rsidR="004E25C5">
        <w:t xml:space="preserve"> </w:t>
      </w:r>
      <w:r w:rsidR="00E534B5">
        <w:t xml:space="preserve">exklusiv dem VNB zur Verfügung steht. </w:t>
      </w:r>
      <w:r w:rsidR="00CC561A">
        <w:t xml:space="preserve">Damit </w:t>
      </w:r>
      <w:r w:rsidR="00F16EC5">
        <w:t>die P</w:t>
      </w:r>
      <w:r w:rsidR="00E534B5">
        <w:t>otenziale</w:t>
      </w:r>
      <w:r w:rsidR="00F16EC5">
        <w:t xml:space="preserve"> flexibler Lasten, Erzeuger und Speicher volkswirtschaftlich optimal</w:t>
      </w:r>
      <w:r w:rsidR="00E534B5">
        <w:t xml:space="preserve"> </w:t>
      </w:r>
      <w:r w:rsidR="00CC561A">
        <w:t>eingesetzt</w:t>
      </w:r>
      <w:r w:rsidR="00E534B5">
        <w:t xml:space="preserve"> </w:t>
      </w:r>
      <w:r w:rsidR="00CC561A">
        <w:t>werden können</w:t>
      </w:r>
      <w:r w:rsidR="00E534B5">
        <w:t>, sollte</w:t>
      </w:r>
      <w:r w:rsidR="00E73271">
        <w:t xml:space="preserve"> es </w:t>
      </w:r>
      <w:r w:rsidR="00A90917">
        <w:t>Netzbenutzern</w:t>
      </w:r>
      <w:r w:rsidR="00E73271">
        <w:t xml:space="preserve"> möglich sein,</w:t>
      </w:r>
      <w:r w:rsidR="00E534B5">
        <w:t xml:space="preserve"> </w:t>
      </w:r>
      <w:r w:rsidR="00A90917">
        <w:t xml:space="preserve">ihre </w:t>
      </w:r>
      <w:r w:rsidR="00E534B5">
        <w:t>Flexibilität</w:t>
      </w:r>
      <w:r w:rsidR="00E950D2">
        <w:t>sleistungen</w:t>
      </w:r>
      <w:r w:rsidR="00CC561A">
        <w:t xml:space="preserve"> </w:t>
      </w:r>
      <w:r w:rsidR="00E950D2">
        <w:t xml:space="preserve">für </w:t>
      </w:r>
      <w:r w:rsidR="00A90917">
        <w:t>verschiedene</w:t>
      </w:r>
      <w:r w:rsidR="00E950D2">
        <w:t xml:space="preserve"> Zwecke </w:t>
      </w:r>
      <w:r w:rsidR="00A90917">
        <w:t>an</w:t>
      </w:r>
      <w:r w:rsidR="00E73271">
        <w:t>zu</w:t>
      </w:r>
      <w:r w:rsidR="00A90917">
        <w:t>bieten</w:t>
      </w:r>
      <w:r w:rsidR="004E25C5">
        <w:t xml:space="preserve"> (Regelreserve, </w:t>
      </w:r>
      <w:r w:rsidR="00CC561A">
        <w:t xml:space="preserve">Redispatch, lokales </w:t>
      </w:r>
      <w:r w:rsidR="004E25C5">
        <w:t>Engpassmanagement</w:t>
      </w:r>
      <w:r w:rsidR="005E45A9">
        <w:t>,</w:t>
      </w:r>
      <w:r w:rsidR="005E45A9" w:rsidRPr="005E45A9">
        <w:t xml:space="preserve"> </w:t>
      </w:r>
      <w:r w:rsidR="005E45A9">
        <w:t>Day-Ahead- und Intraday-Handel</w:t>
      </w:r>
      <w:r w:rsidR="004E25C5">
        <w:t>)</w:t>
      </w:r>
      <w:r w:rsidR="00574FC6">
        <w:t xml:space="preserve"> </w:t>
      </w:r>
      <w:r w:rsidR="00574FC6">
        <w:fldChar w:fldCharType="begin"/>
      </w:r>
      <w:r w:rsidR="00574FC6">
        <w:instrText xml:space="preserve"> REF _Ref116396307 \h </w:instrText>
      </w:r>
      <w:r w:rsidR="00574FC6">
        <w:fldChar w:fldCharType="separate"/>
      </w:r>
      <w:r w:rsidR="00574FC6" w:rsidRPr="00574FC6">
        <w:t>[</w:t>
      </w:r>
      <w:r w:rsidR="00574FC6">
        <w:rPr>
          <w:noProof/>
        </w:rPr>
        <w:t>4</w:t>
      </w:r>
      <w:r w:rsidR="00574FC6">
        <w:fldChar w:fldCharType="end"/>
      </w:r>
      <w:r w:rsidR="00F16EC5">
        <w:t>]</w:t>
      </w:r>
      <w:r w:rsidR="004E25C5">
        <w:t xml:space="preserve">, sofern die jeweiligen technischen Voraussetzungen erfüllt </w:t>
      </w:r>
      <w:r w:rsidR="00F16EC5">
        <w:t>werden können</w:t>
      </w:r>
      <w:r w:rsidR="004E25C5">
        <w:t>.</w:t>
      </w:r>
      <w:r w:rsidR="00E534B5">
        <w:t xml:space="preserve"> </w:t>
      </w:r>
      <w:r w:rsidR="00393290">
        <w:t xml:space="preserve">Dies </w:t>
      </w:r>
      <w:r w:rsidR="00574FC6">
        <w:t>wäre</w:t>
      </w:r>
      <w:r w:rsidR="00393290">
        <w:t xml:space="preserve"> der Attraktivität von Flexibilitätsvermarktung sowie der Liquidität der Märkte zuträglich</w:t>
      </w:r>
      <w:r w:rsidR="00D340AA">
        <w:t xml:space="preserve">, erfordert jedoch zusätzliche Abstimmung in der Ausgestaltung der Märkte </w:t>
      </w:r>
      <w:r w:rsidR="007052E0">
        <w:t>sowie</w:t>
      </w:r>
      <w:r w:rsidR="00574FC6">
        <w:t xml:space="preserve"> verstärkte</w:t>
      </w:r>
      <w:r w:rsidR="00D340AA">
        <w:t xml:space="preserve"> Koordination</w:t>
      </w:r>
      <w:r w:rsidR="00574FC6">
        <w:t xml:space="preserve"> </w:t>
      </w:r>
      <w:r w:rsidR="00D340AA">
        <w:t>im Betrieb</w:t>
      </w:r>
      <w:r w:rsidR="00393290">
        <w:t>.</w:t>
      </w:r>
    </w:p>
    <w:p w14:paraId="780259AC" w14:textId="77777777" w:rsidR="005E4D4F" w:rsidRDefault="004E25C5" w:rsidP="00227125">
      <w:r>
        <w:t>Di</w:t>
      </w:r>
      <w:r w:rsidR="00FF3244">
        <w:t>e</w:t>
      </w:r>
      <w:r>
        <w:t xml:space="preserve"> </w:t>
      </w:r>
      <w:r w:rsidR="00FF3244">
        <w:t>Framework Guideline ziel</w:t>
      </w:r>
      <w:r w:rsidR="006F08FB">
        <w:t xml:space="preserve">t </w:t>
      </w:r>
      <w:r w:rsidR="00FF3244">
        <w:t>ebenfalls darauf ab,</w:t>
      </w:r>
      <w:r w:rsidR="00D74F6C">
        <w:t xml:space="preserve"> verbrauchs- und erzeugungsseitige</w:t>
      </w:r>
      <w:r w:rsidR="00FF3244">
        <w:t xml:space="preserve"> Flexibilität für </w:t>
      </w:r>
      <w:r w:rsidR="00B12902">
        <w:t>diverse</w:t>
      </w:r>
      <w:r w:rsidR="00A90917">
        <w:t xml:space="preserve"> Zwecke bzw.</w:t>
      </w:r>
      <w:r w:rsidR="00FF3244">
        <w:t xml:space="preserve"> </w:t>
      </w:r>
      <w:r w:rsidR="00DB28C7">
        <w:t xml:space="preserve">Märkte </w:t>
      </w:r>
      <w:r w:rsidR="00FF3244">
        <w:t>nutzbar zu machen</w:t>
      </w:r>
      <w:r w:rsidR="00DB28C7">
        <w:t>.</w:t>
      </w:r>
      <w:r w:rsidR="00FF3244">
        <w:t xml:space="preserve"> </w:t>
      </w:r>
      <w:r w:rsidR="006F08FB">
        <w:t xml:space="preserve">Regelungen </w:t>
      </w:r>
      <w:r w:rsidR="00DB28C7">
        <w:t>zu</w:t>
      </w:r>
      <w:r w:rsidR="006F08FB">
        <w:t xml:space="preserve"> Präqualifizierung, Koordination zwischen Übertragungs- und Verteilernetzbetreibern und</w:t>
      </w:r>
      <w:r w:rsidR="00DB28C7">
        <w:t xml:space="preserve"> zur</w:t>
      </w:r>
      <w:r w:rsidR="006F08FB">
        <w:t xml:space="preserve"> Ausgestaltung der Regelreserveprodukte </w:t>
      </w:r>
      <w:r w:rsidR="00DB28C7">
        <w:t>adressieren potentielle</w:t>
      </w:r>
      <w:r w:rsidR="006F08FB">
        <w:t xml:space="preserve"> Markthemmnisse und bürokratische </w:t>
      </w:r>
      <w:r w:rsidR="00DB28C7">
        <w:t xml:space="preserve">Hürden; generell wird in einigen Bereichen als längerfristiges Ziel eine EU-weite Harmonisierung </w:t>
      </w:r>
      <w:r w:rsidR="00AD47C0">
        <w:t>von</w:t>
      </w:r>
      <w:r w:rsidR="00DB28C7">
        <w:t xml:space="preserve"> Prozess</w:t>
      </w:r>
      <w:r w:rsidR="00AD47C0">
        <w:t>e</w:t>
      </w:r>
      <w:r w:rsidR="00574FC6">
        <w:t>n</w:t>
      </w:r>
      <w:r w:rsidR="00AD47C0">
        <w:t xml:space="preserve"> und Anforderungen </w:t>
      </w:r>
      <w:r w:rsidR="00FE402D">
        <w:t>angeregt</w:t>
      </w:r>
      <w:r w:rsidR="00AD47C0">
        <w:t>.</w:t>
      </w:r>
      <w:r w:rsidR="00B12902">
        <w:t xml:space="preserve"> </w:t>
      </w:r>
      <w:r w:rsidR="00AD47C0">
        <w:t xml:space="preserve">Bevor jedoch das </w:t>
      </w:r>
      <w:r w:rsidR="006F08FB">
        <w:t xml:space="preserve">Zielmodell </w:t>
      </w:r>
      <w:r w:rsidR="00AD47C0">
        <w:t xml:space="preserve">von EU-weit harmonisierten integrierten </w:t>
      </w:r>
      <w:r w:rsidR="00FE402D">
        <w:t>Flexibilitätsp</w:t>
      </w:r>
      <w:r w:rsidR="00AD47C0">
        <w:t>lattformen</w:t>
      </w:r>
      <w:r w:rsidR="00FE402D">
        <w:t xml:space="preserve"> Realität werden kann</w:t>
      </w:r>
      <w:r w:rsidR="00AD47C0">
        <w:t>,</w:t>
      </w:r>
      <w:r w:rsidR="00FE402D">
        <w:t xml:space="preserve"> sind kurzfristiger umsetzbare Modelle der </w:t>
      </w:r>
      <w:r w:rsidR="00B12902">
        <w:t>Implementierung</w:t>
      </w:r>
      <w:r w:rsidR="00FE402D">
        <w:t xml:space="preserve"> von Artikel 32 in Betracht zu ziehen. Dazu werden in der Langfassung dieses Beitrags internationale </w:t>
      </w:r>
      <w:r w:rsidR="00CA686E">
        <w:t>Umsetzungsb</w:t>
      </w:r>
      <w:r w:rsidR="00FE402D">
        <w:t xml:space="preserve">eispiele </w:t>
      </w:r>
      <w:r w:rsidR="00D340AA">
        <w:t>analysiert und deren Übertragbarkeit auf Österreich diskutiert</w:t>
      </w:r>
      <w:r w:rsidR="00FE402D">
        <w:t>.</w:t>
      </w:r>
    </w:p>
    <w:p w14:paraId="0D37055D" w14:textId="77777777" w:rsidR="006F08FB" w:rsidRDefault="006F08FB" w:rsidP="00227125"/>
    <w:p w14:paraId="12D5673A" w14:textId="64AF29EC" w:rsidR="006426C8" w:rsidRDefault="00CC346A" w:rsidP="00233453">
      <w:r>
        <w:rPr>
          <w:noProof/>
        </w:rPr>
        <w:drawing>
          <wp:inline distT="0" distB="0" distL="0" distR="0" wp14:anchorId="598839BD" wp14:editId="41B1FFCD">
            <wp:extent cx="5760085" cy="274701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4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E5D684" w14:textId="77777777" w:rsidR="00803917" w:rsidRPr="00233453" w:rsidRDefault="00803917" w:rsidP="00233453">
      <w:r w:rsidRPr="002946B8">
        <w:t xml:space="preserve">Abbildung 1: </w:t>
      </w:r>
      <w:r w:rsidR="00233453">
        <w:t>Die drei Säulen der Umsetzung von Artikel 32 RL</w:t>
      </w:r>
      <w:r w:rsidR="00D032C1">
        <w:t> </w:t>
      </w:r>
      <w:r w:rsidR="00233453">
        <w:t>(EU)</w:t>
      </w:r>
      <w:r w:rsidR="00D032C1">
        <w:t> </w:t>
      </w:r>
      <w:r w:rsidR="00233453">
        <w:t xml:space="preserve">2019/944 </w:t>
      </w:r>
    </w:p>
    <w:p w14:paraId="4F635381" w14:textId="77777777" w:rsidR="002946B8" w:rsidRPr="00803917" w:rsidRDefault="002946B8" w:rsidP="00227125"/>
    <w:p w14:paraId="308755A1" w14:textId="77777777" w:rsidR="005E4D4F" w:rsidRPr="005E4D4F" w:rsidRDefault="005E4D4F" w:rsidP="00A156E4">
      <w:pPr>
        <w:pStyle w:val="Ueberschrift"/>
      </w:pPr>
      <w:bookmarkStart w:id="4" w:name="_Toc26086066"/>
      <w:bookmarkStart w:id="5" w:name="_Toc68418491"/>
      <w:r w:rsidRPr="005E4D4F">
        <w:t>Literatur</w:t>
      </w:r>
      <w:bookmarkEnd w:id="4"/>
      <w:bookmarkEnd w:id="5"/>
    </w:p>
    <w:p w14:paraId="52ECCC31" w14:textId="77777777" w:rsidR="003A6B64" w:rsidRPr="003A6B64" w:rsidRDefault="003A6B64" w:rsidP="008D3875">
      <w:pPr>
        <w:pStyle w:val="Literatur"/>
        <w:keepNext/>
        <w:rPr>
          <w:lang w:val="en-US"/>
        </w:rPr>
      </w:pPr>
      <w:bookmarkStart w:id="6" w:name="_Ref116396257"/>
      <w:r>
        <w:rPr>
          <w:lang w:val="en-US"/>
        </w:rPr>
        <w:t>[</w:t>
      </w:r>
      <w:r w:rsidR="008D3875">
        <w:rPr>
          <w:lang w:val="en-US"/>
        </w:rPr>
        <w:fldChar w:fldCharType="begin"/>
      </w:r>
      <w:r w:rsidR="008D3875">
        <w:rPr>
          <w:lang w:val="en-US"/>
        </w:rPr>
        <w:instrText xml:space="preserve"> SEQ Ref \* ARABIC </w:instrText>
      </w:r>
      <w:r w:rsidR="008D3875">
        <w:rPr>
          <w:lang w:val="en-US"/>
        </w:rPr>
        <w:fldChar w:fldCharType="separate"/>
      </w:r>
      <w:r w:rsidR="008D3875">
        <w:rPr>
          <w:noProof/>
          <w:lang w:val="en-US"/>
        </w:rPr>
        <w:t>1</w:t>
      </w:r>
      <w:r w:rsidR="008D3875">
        <w:rPr>
          <w:lang w:val="en-US"/>
        </w:rPr>
        <w:fldChar w:fldCharType="end"/>
      </w:r>
      <w:bookmarkEnd w:id="6"/>
      <w:r>
        <w:rPr>
          <w:lang w:val="en-US"/>
        </w:rPr>
        <w:t>]</w:t>
      </w:r>
      <w:r>
        <w:rPr>
          <w:lang w:val="en-US"/>
        </w:rPr>
        <w:tab/>
      </w:r>
      <w:r w:rsidRPr="003A6B64">
        <w:rPr>
          <w:lang w:val="en-US"/>
        </w:rPr>
        <w:t>Saviuc I, Zabala López C</w:t>
      </w:r>
      <w:r>
        <w:rPr>
          <w:lang w:val="en-US"/>
        </w:rPr>
        <w:t>,</w:t>
      </w:r>
      <w:r w:rsidRPr="003A6B64">
        <w:rPr>
          <w:lang w:val="en-US"/>
        </w:rPr>
        <w:t xml:space="preserve"> Puskás-Tompos A,</w:t>
      </w:r>
      <w:r>
        <w:rPr>
          <w:lang w:val="en-US"/>
        </w:rPr>
        <w:t xml:space="preserve"> </w:t>
      </w:r>
      <w:r w:rsidRPr="003A6B64">
        <w:rPr>
          <w:lang w:val="en-US"/>
        </w:rPr>
        <w:t>Rollert K, Bertoldi P.</w:t>
      </w:r>
      <w:r>
        <w:rPr>
          <w:lang w:val="en-US"/>
        </w:rPr>
        <w:t xml:space="preserve"> </w:t>
      </w:r>
      <w:r w:rsidRPr="003A6B64">
        <w:rPr>
          <w:lang w:val="en-US"/>
        </w:rPr>
        <w:t>Explicit Demand Response for small end-users and independent aggregators</w:t>
      </w:r>
      <w:r>
        <w:rPr>
          <w:lang w:val="en-US"/>
        </w:rPr>
        <w:t xml:space="preserve">. </w:t>
      </w:r>
      <w:r w:rsidRPr="003A6B64">
        <w:rPr>
          <w:lang w:val="en-US"/>
        </w:rPr>
        <w:t>Status, context, enablers and barriers</w:t>
      </w:r>
      <w:r>
        <w:rPr>
          <w:lang w:val="en-US"/>
        </w:rPr>
        <w:t xml:space="preserve">. </w:t>
      </w:r>
      <w:r w:rsidRPr="003A6B64">
        <w:rPr>
          <w:lang w:val="en-US"/>
        </w:rPr>
        <w:t>Publications Office of the European Union, Luxemburg, 2022.</w:t>
      </w:r>
    </w:p>
    <w:p w14:paraId="6162514F" w14:textId="77777777" w:rsidR="005E4D4F" w:rsidRPr="003A6B64" w:rsidRDefault="00483B87" w:rsidP="00227125">
      <w:pPr>
        <w:pStyle w:val="Literatur"/>
        <w:rPr>
          <w:lang w:val="en-US"/>
        </w:rPr>
      </w:pPr>
      <w:bookmarkStart w:id="7" w:name="_Ref116396274"/>
      <w:r w:rsidRPr="003A6B64">
        <w:rPr>
          <w:lang w:val="en-US"/>
        </w:rPr>
        <w:t>[</w:t>
      </w:r>
      <w:r w:rsidR="008D3875">
        <w:fldChar w:fldCharType="begin"/>
      </w:r>
      <w:r w:rsidR="008D3875" w:rsidRPr="004C63A4">
        <w:rPr>
          <w:lang w:val="en-US"/>
        </w:rPr>
        <w:instrText xml:space="preserve"> SEQ Ref \* ARABIC </w:instrText>
      </w:r>
      <w:r w:rsidR="008D3875">
        <w:fldChar w:fldCharType="separate"/>
      </w:r>
      <w:r w:rsidR="008D3875" w:rsidRPr="004C63A4">
        <w:rPr>
          <w:noProof/>
          <w:lang w:val="en-US"/>
        </w:rPr>
        <w:t>2</w:t>
      </w:r>
      <w:r w:rsidR="008D3875">
        <w:fldChar w:fldCharType="end"/>
      </w:r>
      <w:bookmarkEnd w:id="7"/>
      <w:r w:rsidRPr="003A6B64">
        <w:rPr>
          <w:lang w:val="en-US"/>
        </w:rPr>
        <w:t>]</w:t>
      </w:r>
      <w:r w:rsidR="003A6B64">
        <w:rPr>
          <w:lang w:val="en-US"/>
        </w:rPr>
        <w:tab/>
        <w:t>ACER.</w:t>
      </w:r>
      <w:r w:rsidR="00224F98">
        <w:rPr>
          <w:lang w:val="en-US"/>
        </w:rPr>
        <w:t xml:space="preserve"> News</w:t>
      </w:r>
      <w:r w:rsidR="004C63A4">
        <w:rPr>
          <w:lang w:val="en-US"/>
        </w:rPr>
        <w:t>:</w:t>
      </w:r>
      <w:r w:rsidR="008D3875">
        <w:rPr>
          <w:lang w:val="en-US"/>
        </w:rPr>
        <w:t xml:space="preserve"> </w:t>
      </w:r>
      <w:r w:rsidR="008D3875" w:rsidRPr="008D3875">
        <w:rPr>
          <w:lang w:val="en-US"/>
        </w:rPr>
        <w:t>ACER initiates the drafting of new framework guidelines on demand response</w:t>
      </w:r>
      <w:r w:rsidR="008D3875">
        <w:rPr>
          <w:lang w:val="en-US"/>
        </w:rPr>
        <w:t>.</w:t>
      </w:r>
      <w:r w:rsidR="003A6B64">
        <w:rPr>
          <w:lang w:val="en-US"/>
        </w:rPr>
        <w:t xml:space="preserve"> </w:t>
      </w:r>
      <w:r w:rsidR="003A6B64" w:rsidRPr="003A6B64">
        <w:rPr>
          <w:lang w:val="en-US"/>
        </w:rPr>
        <w:t>https://www.acer.europa.eu/events-and-engagement/news/acer-initiates-drafting-new-framework-guidelines-demand-response</w:t>
      </w:r>
      <w:r w:rsidR="008D3875">
        <w:rPr>
          <w:lang w:val="en-US"/>
        </w:rPr>
        <w:t xml:space="preserve">, </w:t>
      </w:r>
      <w:r w:rsidR="008D3875" w:rsidRPr="008D3875">
        <w:rPr>
          <w:lang w:val="en-US"/>
        </w:rPr>
        <w:t>2.6.2022</w:t>
      </w:r>
      <w:r w:rsidR="008D3875">
        <w:rPr>
          <w:lang w:val="en-US"/>
        </w:rPr>
        <w:t>.</w:t>
      </w:r>
    </w:p>
    <w:p w14:paraId="13D637EB" w14:textId="77777777" w:rsidR="00010E92" w:rsidRPr="00393290" w:rsidRDefault="00483B87" w:rsidP="00E534B5">
      <w:pPr>
        <w:pStyle w:val="Literatur"/>
        <w:rPr>
          <w:lang w:val="en-US"/>
        </w:rPr>
      </w:pPr>
      <w:bookmarkStart w:id="8" w:name="_Ref116396299"/>
      <w:r w:rsidRPr="008D3875">
        <w:rPr>
          <w:lang w:val="en-US"/>
        </w:rPr>
        <w:t>[</w:t>
      </w:r>
      <w:fldSimple w:instr=" SEQ Ref \* ARABIC ">
        <w:r w:rsidR="008D3875">
          <w:rPr>
            <w:noProof/>
          </w:rPr>
          <w:t>3</w:t>
        </w:r>
      </w:fldSimple>
      <w:bookmarkEnd w:id="8"/>
      <w:r w:rsidRPr="008D3875">
        <w:rPr>
          <w:lang w:val="en-US"/>
        </w:rPr>
        <w:t>]</w:t>
      </w:r>
      <w:r w:rsidRPr="008D3875">
        <w:rPr>
          <w:lang w:val="en-US"/>
        </w:rPr>
        <w:tab/>
      </w:r>
      <w:r w:rsidR="003A6B64" w:rsidRPr="008D3875">
        <w:rPr>
          <w:lang w:val="en-US"/>
        </w:rPr>
        <w:t xml:space="preserve">E-Control. </w:t>
      </w:r>
      <w:r w:rsidR="00E534B5" w:rsidRPr="008D3875">
        <w:rPr>
          <w:lang w:val="en-US"/>
        </w:rPr>
        <w:t xml:space="preserve">Tarife 2.1. </w:t>
      </w:r>
      <w:r w:rsidR="00E534B5">
        <w:t xml:space="preserve">Weiterentwicklung der Netzentgeltstruktur für den Stromnetzbereich. </w:t>
      </w:r>
      <w:r w:rsidR="00E534B5" w:rsidRPr="00E534B5">
        <w:t>Positionspapier der Energie-Control Austria für die Regulierung der Elektrizitäts- und Erdgaswirtschaft (E-Control)</w:t>
      </w:r>
      <w:r w:rsidR="00E534B5">
        <w:t xml:space="preserve">. </w:t>
      </w:r>
      <w:r w:rsidR="00E534B5" w:rsidRPr="00393290">
        <w:rPr>
          <w:lang w:val="en-US"/>
        </w:rPr>
        <w:t>Wien, 2020.</w:t>
      </w:r>
    </w:p>
    <w:p w14:paraId="1C2BDB49" w14:textId="77777777" w:rsidR="005E4D4F" w:rsidRPr="00393290" w:rsidRDefault="00393290" w:rsidP="00393290">
      <w:pPr>
        <w:pStyle w:val="Literatur"/>
        <w:rPr>
          <w:lang w:val="en-US"/>
        </w:rPr>
      </w:pPr>
      <w:bookmarkStart w:id="9" w:name="_Ref116396307"/>
      <w:r w:rsidRPr="00393290">
        <w:rPr>
          <w:lang w:val="en-US"/>
        </w:rPr>
        <w:t>[</w:t>
      </w:r>
      <w:fldSimple w:instr=" SEQ Ref \* ARABIC ">
        <w:r w:rsidR="008D3875">
          <w:rPr>
            <w:noProof/>
          </w:rPr>
          <w:t>4</w:t>
        </w:r>
      </w:fldSimple>
      <w:bookmarkEnd w:id="9"/>
      <w:r w:rsidRPr="00393290">
        <w:rPr>
          <w:lang w:val="en-US"/>
        </w:rPr>
        <w:t>]</w:t>
      </w:r>
      <w:r w:rsidRPr="00393290">
        <w:rPr>
          <w:lang w:val="en-US"/>
        </w:rPr>
        <w:tab/>
      </w:r>
      <w:r w:rsidR="00224F98">
        <w:rPr>
          <w:lang w:val="en-US"/>
        </w:rPr>
        <w:t>Nordic Energy Research.</w:t>
      </w:r>
      <w:r w:rsidR="00224F98" w:rsidRPr="00393290">
        <w:rPr>
          <w:lang w:val="en-US"/>
        </w:rPr>
        <w:t xml:space="preserve"> </w:t>
      </w:r>
      <w:r w:rsidRPr="00393290">
        <w:rPr>
          <w:lang w:val="en-US"/>
        </w:rPr>
        <w:t>Distributed Flexibility - Lessons learned in the Nordics</w:t>
      </w:r>
      <w:r>
        <w:rPr>
          <w:lang w:val="en-US"/>
        </w:rPr>
        <w:t xml:space="preserve">. </w:t>
      </w:r>
      <w:r w:rsidRPr="00393290">
        <w:rPr>
          <w:lang w:val="en-US"/>
        </w:rPr>
        <w:t>Nordic Energy Markets Forum, ad hoc Working Group Flexibility</w:t>
      </w:r>
      <w:r>
        <w:rPr>
          <w:lang w:val="en-US"/>
        </w:rPr>
        <w:t>. 2022.</w:t>
      </w:r>
    </w:p>
    <w:sectPr w:rsidR="005E4D4F" w:rsidRPr="003932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94D4" w14:textId="77777777" w:rsidR="00A60A35" w:rsidRDefault="00A60A35">
      <w:r>
        <w:separator/>
      </w:r>
    </w:p>
  </w:endnote>
  <w:endnote w:type="continuationSeparator" w:id="0">
    <w:p w14:paraId="614B7756" w14:textId="77777777" w:rsidR="00A60A35" w:rsidRDefault="00A6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143F" w14:textId="77777777" w:rsidR="00A60A35" w:rsidRDefault="00A60A35">
      <w:r>
        <w:separator/>
      </w:r>
    </w:p>
  </w:footnote>
  <w:footnote w:type="continuationSeparator" w:id="0">
    <w:p w14:paraId="20F6413E" w14:textId="77777777" w:rsidR="00A60A35" w:rsidRDefault="00A60A35">
      <w:r>
        <w:continuationSeparator/>
      </w:r>
    </w:p>
  </w:footnote>
  <w:footnote w:id="1">
    <w:p w14:paraId="425C097F" w14:textId="77777777"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4822B1" w:rsidRPr="004822B1">
        <w:t>Energie-Control Austria für die Regulierung der Elektrizitäts- und Erdgaswirtschaft</w:t>
      </w:r>
      <w:r w:rsidR="004822B1">
        <w:t>,</w:t>
      </w:r>
      <w:r w:rsidR="004822B1" w:rsidRPr="004822B1">
        <w:t xml:space="preserve"> </w:t>
      </w:r>
      <w:r w:rsidR="007421E1" w:rsidRPr="007421E1">
        <w:t>Rudolfsplatz 13A</w:t>
      </w:r>
      <w:r w:rsidR="00E520E6">
        <w:t>,</w:t>
      </w:r>
      <w:r w:rsidR="007421E1">
        <w:t xml:space="preserve"> 1010 Wien,</w:t>
      </w:r>
      <w:r w:rsidR="00E520E6">
        <w:t xml:space="preserve"> </w:t>
      </w:r>
      <w:r w:rsidR="007421E1" w:rsidRPr="007421E1">
        <w:t>Tel: +43-1-24724-558</w:t>
      </w:r>
      <w:r w:rsidR="00A6148D">
        <w:t>,</w:t>
      </w:r>
      <w:r w:rsidR="00FD5D56">
        <w:t xml:space="preserve"> </w:t>
      </w:r>
      <w:r w:rsidR="007421E1" w:rsidRPr="007421E1">
        <w:t>gerald.kalt@e-control.at</w:t>
      </w:r>
      <w:r>
        <w:t xml:space="preserve">, </w:t>
      </w:r>
      <w:r w:rsidR="007421E1">
        <w:t>www.e-control.at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8404887">
    <w:abstractNumId w:val="1"/>
  </w:num>
  <w:num w:numId="2" w16cid:durableId="604307739">
    <w:abstractNumId w:val="3"/>
  </w:num>
  <w:num w:numId="3" w16cid:durableId="331029060">
    <w:abstractNumId w:val="2"/>
  </w:num>
  <w:num w:numId="4" w16cid:durableId="164504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010E92"/>
    <w:rsid w:val="0009665E"/>
    <w:rsid w:val="000B227C"/>
    <w:rsid w:val="00192FAA"/>
    <w:rsid w:val="002014D3"/>
    <w:rsid w:val="00224F98"/>
    <w:rsid w:val="00227125"/>
    <w:rsid w:val="00233453"/>
    <w:rsid w:val="00246ACA"/>
    <w:rsid w:val="00262FD5"/>
    <w:rsid w:val="002946B8"/>
    <w:rsid w:val="00315A5A"/>
    <w:rsid w:val="00335E63"/>
    <w:rsid w:val="00350F98"/>
    <w:rsid w:val="00393290"/>
    <w:rsid w:val="003A6B64"/>
    <w:rsid w:val="003B676F"/>
    <w:rsid w:val="003C28FE"/>
    <w:rsid w:val="003D50BC"/>
    <w:rsid w:val="003E056F"/>
    <w:rsid w:val="004062E2"/>
    <w:rsid w:val="004822B1"/>
    <w:rsid w:val="00483B87"/>
    <w:rsid w:val="004C63A4"/>
    <w:rsid w:val="004E25C5"/>
    <w:rsid w:val="005209B3"/>
    <w:rsid w:val="00574FC6"/>
    <w:rsid w:val="005B1ADB"/>
    <w:rsid w:val="005E45A9"/>
    <w:rsid w:val="005E4D4F"/>
    <w:rsid w:val="005F5F3A"/>
    <w:rsid w:val="00625DFE"/>
    <w:rsid w:val="0063233A"/>
    <w:rsid w:val="006426C8"/>
    <w:rsid w:val="006666D7"/>
    <w:rsid w:val="0068649D"/>
    <w:rsid w:val="006C5679"/>
    <w:rsid w:val="006F08FB"/>
    <w:rsid w:val="007052E0"/>
    <w:rsid w:val="00711AD0"/>
    <w:rsid w:val="007378C8"/>
    <w:rsid w:val="00741EC0"/>
    <w:rsid w:val="007421E1"/>
    <w:rsid w:val="00803917"/>
    <w:rsid w:val="008533C3"/>
    <w:rsid w:val="008D3875"/>
    <w:rsid w:val="008D57F6"/>
    <w:rsid w:val="009410D4"/>
    <w:rsid w:val="00980E04"/>
    <w:rsid w:val="009905B1"/>
    <w:rsid w:val="009C67CB"/>
    <w:rsid w:val="00A0383B"/>
    <w:rsid w:val="00A07737"/>
    <w:rsid w:val="00A156E4"/>
    <w:rsid w:val="00A24A1C"/>
    <w:rsid w:val="00A27A5E"/>
    <w:rsid w:val="00A60A35"/>
    <w:rsid w:val="00A6148D"/>
    <w:rsid w:val="00A90917"/>
    <w:rsid w:val="00AD2F1A"/>
    <w:rsid w:val="00AD47C0"/>
    <w:rsid w:val="00B12902"/>
    <w:rsid w:val="00B13DE7"/>
    <w:rsid w:val="00B77255"/>
    <w:rsid w:val="00BF05FA"/>
    <w:rsid w:val="00C05BDE"/>
    <w:rsid w:val="00C07D45"/>
    <w:rsid w:val="00C143C2"/>
    <w:rsid w:val="00CA686E"/>
    <w:rsid w:val="00CC346A"/>
    <w:rsid w:val="00CC561A"/>
    <w:rsid w:val="00CE1A70"/>
    <w:rsid w:val="00D032C1"/>
    <w:rsid w:val="00D1403C"/>
    <w:rsid w:val="00D340AA"/>
    <w:rsid w:val="00D53E86"/>
    <w:rsid w:val="00D736F8"/>
    <w:rsid w:val="00D74F6C"/>
    <w:rsid w:val="00DB28C7"/>
    <w:rsid w:val="00E333DD"/>
    <w:rsid w:val="00E520E6"/>
    <w:rsid w:val="00E534B5"/>
    <w:rsid w:val="00E7142D"/>
    <w:rsid w:val="00E73271"/>
    <w:rsid w:val="00E8171E"/>
    <w:rsid w:val="00E950D2"/>
    <w:rsid w:val="00ED7C87"/>
    <w:rsid w:val="00F16EC5"/>
    <w:rsid w:val="00F326B2"/>
    <w:rsid w:val="00F37E23"/>
    <w:rsid w:val="00FB69AE"/>
    <w:rsid w:val="00FD5D56"/>
    <w:rsid w:val="00FE402D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D50BC0"/>
  <w15:chartTrackingRefBased/>
  <w15:docId w15:val="{704A111C-B0ED-43AD-9E3A-B9ACA396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styleId="Hyperlink">
    <w:name w:val="Hyperlink"/>
    <w:uiPriority w:val="99"/>
    <w:unhideWhenUsed/>
    <w:rsid w:val="008D3875"/>
    <w:rPr>
      <w:color w:val="0563C1"/>
      <w:u w:val="singl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character" w:styleId="NichtaufgelsteErwhnung">
    <w:name w:val="Unresolved Mention"/>
    <w:uiPriority w:val="99"/>
    <w:semiHidden/>
    <w:unhideWhenUsed/>
    <w:rsid w:val="008D3875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D3875"/>
    <w:rPr>
      <w:b/>
      <w:bCs/>
      <w:szCs w:val="20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E817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171E"/>
    <w:rPr>
      <w:szCs w:val="20"/>
    </w:rPr>
  </w:style>
  <w:style w:type="character" w:customStyle="1" w:styleId="KommentartextZchn">
    <w:name w:val="Kommentartext Zchn"/>
    <w:link w:val="Kommentartext"/>
    <w:uiPriority w:val="99"/>
    <w:rsid w:val="00E8171E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7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8171E"/>
    <w:rPr>
      <w:rFonts w:ascii="Arial" w:hAnsi="Arial"/>
      <w:b/>
      <w:bCs/>
      <w:lang w:eastAsia="ko-KR"/>
    </w:rPr>
  </w:style>
  <w:style w:type="paragraph" w:styleId="berarbeitung">
    <w:name w:val="Revision"/>
    <w:hidden/>
    <w:uiPriority w:val="99"/>
    <w:semiHidden/>
    <w:rsid w:val="00E950D2"/>
    <w:rPr>
      <w:rFonts w:ascii="Arial" w:hAnsi="Arial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D5B2-2920-4A85-97EF-A6DA7F34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1006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Kalt Gerald</cp:lastModifiedBy>
  <cp:revision>2</cp:revision>
  <dcterms:created xsi:type="dcterms:W3CDTF">2022-11-11T11:06:00Z</dcterms:created>
  <dcterms:modified xsi:type="dcterms:W3CDTF">2022-11-11T11:06:00Z</dcterms:modified>
</cp:coreProperties>
</file>