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1A21" w14:textId="25E3085F" w:rsidR="005E4D4F" w:rsidRPr="005E4D4F" w:rsidRDefault="009E41CC" w:rsidP="005E4D4F">
      <w:pPr>
        <w:pStyle w:val="Abstract-Titel"/>
      </w:pPr>
      <w:r>
        <w:t xml:space="preserve">TYNDP22 - Nachhaltiger </w:t>
      </w:r>
      <w:r w:rsidR="00D64772">
        <w:t>E</w:t>
      </w:r>
      <w:r>
        <w:t>uropäische</w:t>
      </w:r>
      <w:r w:rsidR="00F55528">
        <w:t>r</w:t>
      </w:r>
      <w:r>
        <w:t xml:space="preserve"> Netzausbau für eine sichere und unabhängige Energiezukunft in Österreich</w:t>
      </w:r>
    </w:p>
    <w:p w14:paraId="47B52241" w14:textId="296E175F" w:rsidR="00BF05FA" w:rsidRDefault="00BF05FA" w:rsidP="00A156E4">
      <w:pPr>
        <w:pStyle w:val="AutorenOrganisation"/>
      </w:pPr>
      <w:r>
        <w:t>Themenbereich</w:t>
      </w:r>
      <w:r w:rsidR="00D64772">
        <w:t xml:space="preserve"> 2</w:t>
      </w:r>
    </w:p>
    <w:p w14:paraId="3FEDC27D" w14:textId="45EC75E0" w:rsidR="00D64772" w:rsidRPr="005E4D4F" w:rsidRDefault="00D64772" w:rsidP="00D64772">
      <w:pPr>
        <w:pStyle w:val="AutorenOrganisation"/>
      </w:pPr>
      <w:r>
        <w:t>Thomas H</w:t>
      </w:r>
      <w:r w:rsidR="006820AD">
        <w:t>AYDN</w:t>
      </w:r>
      <w:r>
        <w:rPr>
          <w:rStyle w:val="Funotenzeichen"/>
        </w:rPr>
        <w:footnoteReference w:id="1"/>
      </w:r>
      <w:r w:rsidRPr="00A156E4">
        <w:rPr>
          <w:vertAlign w:val="superscript"/>
        </w:rPr>
        <w:t>(</w:t>
      </w:r>
      <w:r>
        <w:rPr>
          <w:vertAlign w:val="superscript"/>
        </w:rPr>
        <w:t>1)</w:t>
      </w:r>
      <w:r>
        <w:t xml:space="preserve">, Timothy </w:t>
      </w:r>
      <w:r w:rsidR="00D64482">
        <w:t>HOFMANN</w:t>
      </w:r>
      <w:r>
        <w:rPr>
          <w:rStyle w:val="Funotenzeichen"/>
        </w:rPr>
        <w:footnoteReference w:id="2"/>
      </w:r>
      <w:r>
        <w:rPr>
          <w:vertAlign w:val="superscript"/>
        </w:rPr>
        <w:t>(1)</w:t>
      </w:r>
      <w:r>
        <w:t>, Stephan</w:t>
      </w:r>
      <w:r w:rsidRPr="005E4D4F">
        <w:t xml:space="preserve"> </w:t>
      </w:r>
      <w:r w:rsidR="00D64482">
        <w:t>ÖSTERBAUER</w:t>
      </w:r>
      <w:r w:rsidRPr="00010E92">
        <w:rPr>
          <w:vertAlign w:val="superscript"/>
        </w:rPr>
        <w:footnoteReference w:id="3"/>
      </w:r>
      <w:r w:rsidRPr="00A156E4">
        <w:rPr>
          <w:vertAlign w:val="superscript"/>
        </w:rPr>
        <w:t>(1</w:t>
      </w:r>
      <w:r>
        <w:rPr>
          <w:vertAlign w:val="superscript"/>
        </w:rPr>
        <w:t>)</w:t>
      </w:r>
      <w:r w:rsidRPr="005E4D4F">
        <w:t>,</w:t>
      </w:r>
    </w:p>
    <w:p w14:paraId="5E098BD2" w14:textId="201FDFDC" w:rsidR="00D64772" w:rsidRPr="00D64482" w:rsidRDefault="00D64772" w:rsidP="00D64772">
      <w:pPr>
        <w:pStyle w:val="AutorenOrganisation"/>
      </w:pPr>
      <w:r w:rsidRPr="00D64482">
        <w:t>APG – Austrian Power Grid AG</w:t>
      </w:r>
    </w:p>
    <w:p w14:paraId="7D0DC61F" w14:textId="77777777" w:rsidR="00A07737" w:rsidRPr="00D64482" w:rsidRDefault="00A07737" w:rsidP="00FB69AE">
      <w:pPr>
        <w:rPr>
          <w:lang w:val="de-AT"/>
        </w:rPr>
      </w:pPr>
    </w:p>
    <w:p w14:paraId="2746D67E" w14:textId="143D0CE0" w:rsidR="00DE4A4A" w:rsidRDefault="005E4D4F" w:rsidP="003A0F2B">
      <w:pPr>
        <w:pStyle w:val="Ueberschrift"/>
      </w:pPr>
      <w:r w:rsidRPr="005E4D4F">
        <w:t>Motivation und zentrale Fragestellung</w:t>
      </w:r>
    </w:p>
    <w:p w14:paraId="20B2ECE4" w14:textId="21174170" w:rsidR="00416D97" w:rsidRDefault="006556E7" w:rsidP="00227125">
      <w:r>
        <w:t xml:space="preserve">Das Ziel des </w:t>
      </w:r>
      <w:proofErr w:type="spellStart"/>
      <w:r w:rsidR="00416D97" w:rsidRPr="00DE4A4A">
        <w:rPr>
          <w:b/>
        </w:rPr>
        <w:t>T</w:t>
      </w:r>
      <w:r w:rsidR="00416D97">
        <w:t>en</w:t>
      </w:r>
      <w:proofErr w:type="spellEnd"/>
      <w:r w:rsidR="00416D97">
        <w:t xml:space="preserve"> </w:t>
      </w:r>
      <w:r w:rsidR="00416D97" w:rsidRPr="00DE4A4A">
        <w:rPr>
          <w:b/>
        </w:rPr>
        <w:t>Y</w:t>
      </w:r>
      <w:r w:rsidR="00416D97">
        <w:t xml:space="preserve">ear </w:t>
      </w:r>
      <w:r w:rsidR="00416D97" w:rsidRPr="00DE4A4A">
        <w:rPr>
          <w:b/>
        </w:rPr>
        <w:t>N</w:t>
      </w:r>
      <w:r w:rsidR="00416D97">
        <w:t xml:space="preserve">etwork </w:t>
      </w:r>
      <w:r w:rsidR="00416D97" w:rsidRPr="00DE4A4A">
        <w:rPr>
          <w:b/>
        </w:rPr>
        <w:t>D</w:t>
      </w:r>
      <w:r w:rsidR="00416D97">
        <w:t xml:space="preserve">evelopment </w:t>
      </w:r>
      <w:r w:rsidR="00416D97" w:rsidRPr="00DE4A4A">
        <w:rPr>
          <w:b/>
        </w:rPr>
        <w:t>P</w:t>
      </w:r>
      <w:r w:rsidR="00416D97">
        <w:t>lan 2022</w:t>
      </w:r>
      <w:r w:rsidR="00DE4A4A">
        <w:t xml:space="preserve"> (TYNDP22)</w:t>
      </w:r>
      <w:r>
        <w:t xml:space="preserve"> </w:t>
      </w:r>
      <w:r w:rsidR="005F366A">
        <w:rPr>
          <w:noProof/>
        </w:rPr>
        <w:t xml:space="preserve">[1] </w:t>
      </w:r>
      <w:r>
        <w:t>der ENTSO-E ist es</w:t>
      </w:r>
      <w:r w:rsidR="004A3F10">
        <w:t>,</w:t>
      </w:r>
      <w:r>
        <w:t xml:space="preserve"> d</w:t>
      </w:r>
      <w:r w:rsidR="003A0F2B">
        <w:t>ie für eine sichere</w:t>
      </w:r>
      <w:r>
        <w:t xml:space="preserve"> und nachhaltige </w:t>
      </w:r>
      <w:r w:rsidR="003A0F2B">
        <w:t>Energiez</w:t>
      </w:r>
      <w:r>
        <w:t>ukunft notwendige</w:t>
      </w:r>
      <w:r w:rsidR="003A0F2B">
        <w:t>n europäischen</w:t>
      </w:r>
      <w:r>
        <w:t xml:space="preserve"> </w:t>
      </w:r>
      <w:r w:rsidR="003A0F2B">
        <w:t>Übertragungsnetzprojekte zu i</w:t>
      </w:r>
      <w:r>
        <w:t>dentif</w:t>
      </w:r>
      <w:r w:rsidR="003A0F2B">
        <w:t>i</w:t>
      </w:r>
      <w:r>
        <w:t xml:space="preserve">zieren und </w:t>
      </w:r>
      <w:r w:rsidR="003A0F2B">
        <w:t>zu bewerten</w:t>
      </w:r>
      <w:r>
        <w:t xml:space="preserve">. </w:t>
      </w:r>
      <w:r w:rsidR="003A0F2B">
        <w:t xml:space="preserve">Die Entwicklung der </w:t>
      </w:r>
      <w:r w:rsidR="00DC3CD8">
        <w:t xml:space="preserve">dafür notwendigen </w:t>
      </w:r>
      <w:r w:rsidR="003A0F2B">
        <w:t xml:space="preserve">Szenarien </w:t>
      </w:r>
      <w:r w:rsidR="00294B1A">
        <w:t xml:space="preserve">[2] </w:t>
      </w:r>
      <w:r w:rsidR="003A0F2B">
        <w:t xml:space="preserve">des TYNDP22 erfolgte noch vor dem </w:t>
      </w:r>
      <w:r w:rsidR="00DC3CD8">
        <w:t xml:space="preserve">Beginn des Krieges in der Ukraine. </w:t>
      </w:r>
      <w:r w:rsidR="00294B1A">
        <w:t>Somit stell</w:t>
      </w:r>
      <w:r w:rsidR="00887F61">
        <w:t>en</w:t>
      </w:r>
      <w:r w:rsidR="00294B1A">
        <w:t xml:space="preserve"> sich </w:t>
      </w:r>
      <w:r w:rsidR="006F7496">
        <w:t>folgende</w:t>
      </w:r>
      <w:r w:rsidR="00294B1A">
        <w:t xml:space="preserve"> Frage</w:t>
      </w:r>
      <w:r w:rsidR="00887F61">
        <w:t>n</w:t>
      </w:r>
      <w:r w:rsidR="00294B1A">
        <w:t xml:space="preserve">: </w:t>
      </w:r>
      <w:r w:rsidR="00DC3CD8">
        <w:t>Wie sind die Indikatoren de</w:t>
      </w:r>
      <w:r w:rsidR="006F7496">
        <w:t>r Kosten-Nutzen-Rechnungen (CBA)</w:t>
      </w:r>
      <w:r w:rsidR="00DC3CD8">
        <w:t xml:space="preserve"> </w:t>
      </w:r>
      <w:r w:rsidR="004F5EAE">
        <w:t xml:space="preserve">[3] </w:t>
      </w:r>
      <w:r w:rsidR="00DC3CD8">
        <w:t>im TYNDP22 de</w:t>
      </w:r>
      <w:bookmarkStart w:id="0" w:name="_GoBack"/>
      <w:bookmarkEnd w:id="0"/>
      <w:r w:rsidR="00DC3CD8">
        <w:t xml:space="preserve">r APG Projekte aus heutiger </w:t>
      </w:r>
      <w:r w:rsidR="00B80D16">
        <w:t xml:space="preserve">und aus </w:t>
      </w:r>
      <w:r w:rsidR="006F7496">
        <w:t>der</w:t>
      </w:r>
      <w:r w:rsidR="00C9125A">
        <w:t xml:space="preserve"> drängenden Frage der </w:t>
      </w:r>
      <w:r w:rsidR="006F7496">
        <w:t xml:space="preserve">Perspektive der </w:t>
      </w:r>
      <w:r w:rsidR="00DC3CD8">
        <w:t>Energiesicherheit zu bewerten</w:t>
      </w:r>
      <w:r w:rsidR="00887F61">
        <w:t>?</w:t>
      </w:r>
      <w:r w:rsidR="00DC3CD8">
        <w:t xml:space="preserve"> Welche Konsequenzen müssen dadurch für die nationale Netzausbauplanung gezogen werden</w:t>
      </w:r>
      <w:r w:rsidR="00153CF8">
        <w:t xml:space="preserve"> um eine sichere</w:t>
      </w:r>
      <w:r w:rsidR="00D3222B">
        <w:t xml:space="preserve"> und klima</w:t>
      </w:r>
      <w:r w:rsidR="0018089F">
        <w:t xml:space="preserve">neutrale </w:t>
      </w:r>
      <w:r w:rsidR="00153CF8">
        <w:t xml:space="preserve">Stromversorgung </w:t>
      </w:r>
      <w:r w:rsidR="0018089F">
        <w:t xml:space="preserve">auch in Zukunft </w:t>
      </w:r>
      <w:r w:rsidR="00153CF8">
        <w:t>gewährleisten zu können</w:t>
      </w:r>
      <w:r w:rsidR="00DC3CD8">
        <w:t>?</w:t>
      </w:r>
    </w:p>
    <w:p w14:paraId="00203371" w14:textId="77777777" w:rsidR="005E4D4F" w:rsidRPr="005E4D4F" w:rsidRDefault="005E4D4F" w:rsidP="005E4D4F">
      <w:pPr>
        <w:pStyle w:val="Ueberschrift"/>
      </w:pPr>
      <w:r w:rsidRPr="005E4D4F">
        <w:t>Methodische Vorgangsweise</w:t>
      </w:r>
    </w:p>
    <w:p w14:paraId="449B4BD7" w14:textId="7A1C1775" w:rsidR="005E4D4F" w:rsidRPr="005E4D4F" w:rsidRDefault="00C9125A" w:rsidP="00227125">
      <w:r>
        <w:t xml:space="preserve">Für die Beantwortung der Fragstellung werden in erster Linie die Ergebnisse und Indikatoren der CBA des TYNDP22 herangezogen. Der Fokus liegt dabei auf den </w:t>
      </w:r>
      <w:r w:rsidR="00D84D72">
        <w:t xml:space="preserve">14 </w:t>
      </w:r>
      <w:r>
        <w:t xml:space="preserve">TYNDP22 Projekten der APG. </w:t>
      </w:r>
      <w:r w:rsidR="001E3489">
        <w:t xml:space="preserve">Diese werden im Rahmen der CBA in vier verschiedenen Szenarien bewertet. </w:t>
      </w:r>
      <w:r w:rsidR="00FA185F">
        <w:t>Zweck der Analyse ist</w:t>
      </w:r>
      <w:r>
        <w:t xml:space="preserve"> dabei</w:t>
      </w:r>
      <w:r w:rsidR="00CE39A4">
        <w:t>,</w:t>
      </w:r>
      <w:r>
        <w:t xml:space="preserve"> die Gruppierung und Gewichtung der CBA Indikatoren nach bestimmten Zielfunktionen.</w:t>
      </w:r>
      <w:r w:rsidR="00CE39A4">
        <w:t xml:space="preserve"> Zusätzlich werden einige Ken</w:t>
      </w:r>
      <w:r w:rsidR="006B3070">
        <w:t>ngrößen betrachtet,</w:t>
      </w:r>
      <w:r w:rsidR="00CE39A4">
        <w:t xml:space="preserve"> </w:t>
      </w:r>
      <w:r w:rsidR="006B3070">
        <w:t>welche nicht direkt aus den CBA Indikatoren heraus ersichtlich sind</w:t>
      </w:r>
      <w:r w:rsidR="001E3489">
        <w:t xml:space="preserve">. </w:t>
      </w:r>
      <w:r w:rsidR="00D84D72">
        <w:t xml:space="preserve">Dadurch </w:t>
      </w:r>
      <w:r w:rsidR="00FA185F">
        <w:t>w</w:t>
      </w:r>
      <w:r w:rsidR="00BF4A6B">
        <w:t>ird</w:t>
      </w:r>
      <w:r w:rsidR="001E3489">
        <w:t xml:space="preserve"> versucht,</w:t>
      </w:r>
      <w:r w:rsidR="00D84D72">
        <w:t xml:space="preserve"> </w:t>
      </w:r>
      <w:r>
        <w:t>insbesondere die Frage</w:t>
      </w:r>
      <w:r w:rsidR="00FA185F">
        <w:t>n nach dem Einfluss</w:t>
      </w:r>
      <w:r>
        <w:t xml:space="preserve"> der Energiesicherheit und damit die Reduktion der Importabhängigkeit</w:t>
      </w:r>
      <w:r w:rsidR="00FA185F">
        <w:t xml:space="preserve"> fossiler Energieträger</w:t>
      </w:r>
      <w:r>
        <w:t>, der Beitrag der Projekte zu</w:t>
      </w:r>
      <w:r w:rsidR="00D84D72">
        <w:t>r Dämpfung der Klimakrise</w:t>
      </w:r>
      <w:r w:rsidR="00FA185F">
        <w:t xml:space="preserve">, die Frage des Nutzens der Projekte für den Wirtschaftsstandort Österreich, des allgemeinen volkswirtschaftlichen Nutzens und nicht zuletzt der Frage eines sicheren Netzbetriebs zu beantworten. Des Weiteren werden die Ergebnisse der System Needs Studie </w:t>
      </w:r>
      <w:r w:rsidR="00A3553E">
        <w:t xml:space="preserve">[4] </w:t>
      </w:r>
      <w:r w:rsidR="00FA185F">
        <w:t>des TYNDP22 für Österreich mit den Erkenntnissen dieser Analyse ergänzt.</w:t>
      </w:r>
      <w:r>
        <w:t xml:space="preserve">   </w:t>
      </w:r>
    </w:p>
    <w:p w14:paraId="250BBA56" w14:textId="0AD94975" w:rsidR="00153CF8" w:rsidRDefault="005E4D4F" w:rsidP="005F366A">
      <w:pPr>
        <w:pStyle w:val="Ueberschrift"/>
      </w:pPr>
      <w:r w:rsidRPr="005E4D4F">
        <w:t>Ergebnisse und Schlussfolgerungen</w:t>
      </w:r>
    </w:p>
    <w:p w14:paraId="47F1414C" w14:textId="0E1CFC02" w:rsidR="00153CF8" w:rsidRDefault="00765788" w:rsidP="00153CF8">
      <w:r>
        <w:t>Da die Ergebnisse des TYNDP22</w:t>
      </w:r>
      <w:r w:rsidR="00153CF8">
        <w:t xml:space="preserve"> erst gegen Ende </w:t>
      </w:r>
      <w:r w:rsidR="006B3070">
        <w:t xml:space="preserve">des Jahres </w:t>
      </w:r>
      <w:r w:rsidR="00153CF8">
        <w:t xml:space="preserve">2022 finalisiert werden, können </w:t>
      </w:r>
      <w:r w:rsidR="008455E3">
        <w:t xml:space="preserve">zum jetzigen Zeitpunkt </w:t>
      </w:r>
      <w:r w:rsidR="00153CF8">
        <w:t>noch kei</w:t>
      </w:r>
      <w:r w:rsidR="00E965F4">
        <w:t>ne konkreten Zahlen</w:t>
      </w:r>
      <w:r w:rsidR="00153CF8">
        <w:t xml:space="preserve"> präsentiert werden. Erste Aussagen lassen sich dennoch treffen. </w:t>
      </w:r>
    </w:p>
    <w:p w14:paraId="6334D8C7" w14:textId="02537E83" w:rsidR="00D250D7" w:rsidRDefault="00153CF8" w:rsidP="00153CF8">
      <w:r>
        <w:t xml:space="preserve">Es zeigt sich, dass Projekte </w:t>
      </w:r>
      <w:r w:rsidR="00E965F4">
        <w:t xml:space="preserve">welche die Einbindung von zusätzliche </w:t>
      </w:r>
      <w:r>
        <w:t>Erneuerbaren Energien in das System</w:t>
      </w:r>
      <w:r w:rsidR="00E965F4">
        <w:t xml:space="preserve"> erlauben, einen</w:t>
      </w:r>
      <w:r w:rsidR="00D250D7">
        <w:t xml:space="preserve"> verhältnismäßig hohen NPV (</w:t>
      </w:r>
      <w:r w:rsidR="00D250D7" w:rsidRPr="00D250D7">
        <w:rPr>
          <w:b/>
        </w:rPr>
        <w:t>N</w:t>
      </w:r>
      <w:r w:rsidR="00D250D7">
        <w:t xml:space="preserve">et </w:t>
      </w:r>
      <w:proofErr w:type="spellStart"/>
      <w:r w:rsidR="00D250D7" w:rsidRPr="00D250D7">
        <w:rPr>
          <w:b/>
        </w:rPr>
        <w:t>P</w:t>
      </w:r>
      <w:r w:rsidR="00D250D7">
        <w:t>resent</w:t>
      </w:r>
      <w:proofErr w:type="spellEnd"/>
      <w:r w:rsidR="00D250D7">
        <w:t xml:space="preserve"> </w:t>
      </w:r>
      <w:r w:rsidR="00D250D7" w:rsidRPr="00D250D7">
        <w:rPr>
          <w:b/>
        </w:rPr>
        <w:t>V</w:t>
      </w:r>
      <w:r w:rsidR="00D250D7">
        <w:t>alue) generieren</w:t>
      </w:r>
      <w:r w:rsidR="00E965F4">
        <w:t xml:space="preserve">. </w:t>
      </w:r>
      <w:r w:rsidR="00615792">
        <w:t>Dies</w:t>
      </w:r>
      <w:r w:rsidR="00765788">
        <w:t xml:space="preserve">e </w:t>
      </w:r>
      <w:r w:rsidR="00D250D7">
        <w:t xml:space="preserve">Projekte </w:t>
      </w:r>
      <w:r w:rsidR="00765788">
        <w:t>führen</w:t>
      </w:r>
      <w:r w:rsidR="00615792">
        <w:t xml:space="preserve"> zur </w:t>
      </w:r>
      <w:r w:rsidR="00E965F4">
        <w:t xml:space="preserve">Einsparung von </w:t>
      </w:r>
      <w:r w:rsidR="00D250D7">
        <w:rPr>
          <w:rFonts w:cs="Arial"/>
          <w:color w:val="202124"/>
          <w:shd w:val="clear" w:color="auto" w:fill="FFFFFF"/>
        </w:rPr>
        <w:t>CO</w:t>
      </w:r>
      <w:r w:rsidR="00D250D7">
        <w:rPr>
          <w:rFonts w:cs="Arial"/>
          <w:color w:val="202124"/>
          <w:shd w:val="clear" w:color="auto" w:fill="FFFFFF"/>
          <w:vertAlign w:val="subscript"/>
        </w:rPr>
        <w:t>2</w:t>
      </w:r>
      <w:r w:rsidR="00E965F4">
        <w:t xml:space="preserve">, einem höheren Anteil an </w:t>
      </w:r>
      <w:r w:rsidR="004A3F10">
        <w:t xml:space="preserve">integrierten </w:t>
      </w:r>
      <w:r w:rsidR="00E965F4">
        <w:t xml:space="preserve">Erneuerbaren Energien und </w:t>
      </w:r>
      <w:r w:rsidR="00615792">
        <w:t xml:space="preserve">somit </w:t>
      </w:r>
      <w:r w:rsidR="00D250D7">
        <w:t xml:space="preserve">zu </w:t>
      </w:r>
      <w:r w:rsidR="00615792">
        <w:t xml:space="preserve">sinkenden Durchschnittspreisen am Strommarkt. </w:t>
      </w:r>
    </w:p>
    <w:p w14:paraId="5829100D" w14:textId="4EACDCFC" w:rsidR="00D250D7" w:rsidRDefault="005B21F0" w:rsidP="00153CF8">
      <w:r>
        <w:t xml:space="preserve">Projekte welche in der Lage sind große Industrieunternehmen </w:t>
      </w:r>
      <w:r w:rsidR="00527673">
        <w:t>an starke Netzanschlüsse</w:t>
      </w:r>
      <w:r>
        <w:t xml:space="preserve"> </w:t>
      </w:r>
      <w:r w:rsidR="00527673">
        <w:t>anzubinden</w:t>
      </w:r>
      <w:r>
        <w:t>, bieten die Möglichkeit diese Sektoren nicht mit fossilen Brennstoffen, sondern mit erneuerbaren Energien zu versorgen (</w:t>
      </w:r>
      <w:r w:rsidR="005F366A">
        <w:t xml:space="preserve">Beispiel </w:t>
      </w:r>
      <w:r>
        <w:t>Umstieg zu Elektro</w:t>
      </w:r>
      <w:r w:rsidR="0018089F">
        <w:t>lichtbogenöfen</w:t>
      </w:r>
      <w:r>
        <w:t>).</w:t>
      </w:r>
      <w:r w:rsidR="00527673">
        <w:t xml:space="preserve"> Die so </w:t>
      </w:r>
      <w:r w:rsidR="0018089F">
        <w:t xml:space="preserve">zusätzlich </w:t>
      </w:r>
      <w:r w:rsidR="00527673">
        <w:t>eingesparten Treibhausgase liefern einen wichtigen Beitrag zum Kampf gegen die Klimakrise</w:t>
      </w:r>
      <w:r w:rsidR="00A15F24">
        <w:t xml:space="preserve"> und bieten einen Ausweg aus der Abhängigkeit von fossilen Brennstoffen</w:t>
      </w:r>
      <w:r w:rsidR="001E3489">
        <w:t xml:space="preserve"> im Industriesektor</w:t>
      </w:r>
      <w:r w:rsidR="00A15F24">
        <w:t>.</w:t>
      </w:r>
      <w:r w:rsidR="00527673">
        <w:t xml:space="preserve"> </w:t>
      </w:r>
      <w:r w:rsidR="00A15F24">
        <w:t>Diese Aspekte dürfen</w:t>
      </w:r>
      <w:r w:rsidR="00527673">
        <w:t xml:space="preserve"> in der Projektbewertung nicht unterschätzt werden. </w:t>
      </w:r>
    </w:p>
    <w:p w14:paraId="63669E5D" w14:textId="061FE2AA" w:rsidR="00527673" w:rsidRDefault="00DC7B92" w:rsidP="00153CF8">
      <w:r>
        <w:t xml:space="preserve">380-kV Projekte erzielen in der Regel signifikant </w:t>
      </w:r>
      <w:r w:rsidR="005F366A">
        <w:t xml:space="preserve">höhere NPVs </w:t>
      </w:r>
      <w:r>
        <w:t xml:space="preserve">je investierten € </w:t>
      </w:r>
      <w:r w:rsidR="005F366A">
        <w:t xml:space="preserve">als </w:t>
      </w:r>
      <w:r>
        <w:t xml:space="preserve">220-kV Projekte. Dies lässt sich in erster Linie durch </w:t>
      </w:r>
      <w:r w:rsidR="005F366A">
        <w:t xml:space="preserve">ein höheres Nutzen-Kosten Verhältnis </w:t>
      </w:r>
      <w:r>
        <w:t xml:space="preserve">der beiden Technologien erklären. </w:t>
      </w:r>
    </w:p>
    <w:p w14:paraId="49972EF5" w14:textId="33AC3324" w:rsidR="00153CF8" w:rsidRDefault="00765788" w:rsidP="004E6643">
      <w:r>
        <w:t xml:space="preserve">Die durchgeführten </w:t>
      </w:r>
      <w:r w:rsidR="00CA2AA8">
        <w:t>Simulationen</w:t>
      </w:r>
      <w:r>
        <w:t xml:space="preserve"> betrachten den Strommarkt und das </w:t>
      </w:r>
      <w:r w:rsidR="00CA2AA8">
        <w:t>Übertragungsnetz</w:t>
      </w:r>
      <w:r>
        <w:t xml:space="preserve"> als entkoppelte Elemente </w:t>
      </w:r>
      <w:r w:rsidR="00CC7126">
        <w:t>in</w:t>
      </w:r>
      <w:r w:rsidR="00CA2AA8">
        <w:t xml:space="preserve"> Verbindung mit dem gesamten Energiesystem</w:t>
      </w:r>
      <w:r>
        <w:t xml:space="preserve">. </w:t>
      </w:r>
      <w:r w:rsidR="004A3F10">
        <w:t xml:space="preserve">Für zukünftige </w:t>
      </w:r>
      <w:r w:rsidR="0018089F">
        <w:t xml:space="preserve">Projektbewertungen wird daher </w:t>
      </w:r>
      <w:r w:rsidR="004A3F10">
        <w:t xml:space="preserve">zusätzlich </w:t>
      </w:r>
      <w:r w:rsidR="0018089F">
        <w:t>die Einbeziehung</w:t>
      </w:r>
      <w:r w:rsidR="004A3F10">
        <w:t xml:space="preserve"> </w:t>
      </w:r>
      <w:r w:rsidR="00CA2AA8">
        <w:t>des gesamten Energiesystems</w:t>
      </w:r>
      <w:r w:rsidR="004A3F10">
        <w:t xml:space="preserve"> </w:t>
      </w:r>
      <w:r w:rsidR="0018089F">
        <w:t>notwendig sein</w:t>
      </w:r>
      <w:r w:rsidR="004A3F10">
        <w:t xml:space="preserve">. Ein </w:t>
      </w:r>
      <w:r w:rsidR="0018089F">
        <w:t xml:space="preserve">dafür geeignetes </w:t>
      </w:r>
      <w:r w:rsidR="004A3F10">
        <w:t xml:space="preserve">Berechnungs-Tool zur Energiesystemmodellierung wird derzeit in der APG entwickelt. </w:t>
      </w:r>
    </w:p>
    <w:p w14:paraId="2DA36D4D" w14:textId="40C5B16C" w:rsidR="00004D7C" w:rsidRDefault="00004D7C" w:rsidP="00227125"/>
    <w:p w14:paraId="53730162" w14:textId="7B34546C" w:rsidR="005E4D4F" w:rsidRDefault="005E4D4F" w:rsidP="00227125"/>
    <w:p w14:paraId="27A1FA20" w14:textId="77777777" w:rsidR="002946B8" w:rsidRPr="00803917" w:rsidRDefault="002946B8" w:rsidP="00227125"/>
    <w:sdt>
      <w:sdtPr>
        <w:rPr>
          <w:b/>
        </w:rPr>
        <w:id w:val="-1409456548"/>
        <w:docPartObj>
          <w:docPartGallery w:val="Bibliographies"/>
          <w:docPartUnique/>
        </w:docPartObj>
      </w:sdtPr>
      <w:sdtEndPr>
        <w:rPr>
          <w:b w:val="0"/>
          <w:bCs/>
        </w:rPr>
      </w:sdtEndPr>
      <w:sdtContent>
        <w:p w14:paraId="408B63BF" w14:textId="77777777" w:rsidR="004F5EAE" w:rsidRDefault="00A855B1">
          <w:pPr>
            <w:rPr>
              <w:rFonts w:ascii="Times New Roman" w:hAnsi="Times New Roman"/>
              <w:noProof/>
              <w:szCs w:val="20"/>
              <w:lang w:val="en-GB" w:eastAsia="en-GB"/>
            </w:rPr>
          </w:pPr>
          <w:r w:rsidRPr="005E4D4F">
            <w:t>Literatur</w:t>
          </w:r>
          <w:r w:rsidR="00004D7C">
            <w:rPr>
              <w:spacing w:val="-5"/>
              <w:sz w:val="22"/>
              <w:lang w:eastAsia="de-DE"/>
            </w:rPr>
            <w:fldChar w:fldCharType="begin"/>
          </w:r>
          <w:r w:rsidR="00004D7C">
            <w:instrText>BIBLIOGRAPHY</w:instrText>
          </w:r>
          <w:r w:rsidR="00004D7C">
            <w:rPr>
              <w:spacing w:val="-5"/>
              <w:sz w:val="22"/>
              <w:lang w:eastAsia="de-D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
            <w:gridCol w:w="8774"/>
          </w:tblGrid>
          <w:tr w:rsidR="004F5EAE" w14:paraId="1813EADA" w14:textId="77777777">
            <w:trPr>
              <w:divId w:val="245112344"/>
              <w:tblCellSpacing w:w="15" w:type="dxa"/>
            </w:trPr>
            <w:tc>
              <w:tcPr>
                <w:tcW w:w="50" w:type="pct"/>
                <w:hideMark/>
              </w:tcPr>
              <w:p w14:paraId="13EC6616" w14:textId="4E522612" w:rsidR="004F5EAE" w:rsidRDefault="004F5EAE">
                <w:pPr>
                  <w:pStyle w:val="Literaturverzeichnis"/>
                  <w:rPr>
                    <w:noProof/>
                    <w:sz w:val="24"/>
                  </w:rPr>
                </w:pPr>
                <w:r>
                  <w:rPr>
                    <w:noProof/>
                  </w:rPr>
                  <w:t xml:space="preserve">[1] </w:t>
                </w:r>
              </w:p>
            </w:tc>
            <w:tc>
              <w:tcPr>
                <w:tcW w:w="0" w:type="auto"/>
                <w:hideMark/>
              </w:tcPr>
              <w:p w14:paraId="6F151D5A" w14:textId="77777777" w:rsidR="004F5EAE" w:rsidRDefault="004F5EAE">
                <w:pPr>
                  <w:pStyle w:val="Literaturverzeichnis"/>
                  <w:rPr>
                    <w:noProof/>
                  </w:rPr>
                </w:pPr>
                <w:r>
                  <w:rPr>
                    <w:noProof/>
                  </w:rPr>
                  <w:t xml:space="preserve">ENTSO-E, „Projektseite des TYNDP 2022,“ [Online]. </w:t>
                </w:r>
                <w:r w:rsidRPr="004F5EAE">
                  <w:rPr>
                    <w:noProof/>
                    <w:lang w:val="en-GB"/>
                  </w:rPr>
                  <w:t xml:space="preserve">Available: https://tyndp.entsoe.eu/. </w:t>
                </w:r>
                <w:r>
                  <w:rPr>
                    <w:noProof/>
                  </w:rPr>
                  <w:t>[Zugriff am 14. 11. 2022].</w:t>
                </w:r>
              </w:p>
            </w:tc>
          </w:tr>
          <w:tr w:rsidR="004F5EAE" w14:paraId="4DAEC3AD" w14:textId="77777777">
            <w:trPr>
              <w:divId w:val="245112344"/>
              <w:tblCellSpacing w:w="15" w:type="dxa"/>
            </w:trPr>
            <w:tc>
              <w:tcPr>
                <w:tcW w:w="50" w:type="pct"/>
                <w:hideMark/>
              </w:tcPr>
              <w:p w14:paraId="4F256910" w14:textId="77777777" w:rsidR="004F5EAE" w:rsidRDefault="004F5EAE">
                <w:pPr>
                  <w:pStyle w:val="Literaturverzeichnis"/>
                  <w:rPr>
                    <w:noProof/>
                  </w:rPr>
                </w:pPr>
                <w:r>
                  <w:rPr>
                    <w:noProof/>
                  </w:rPr>
                  <w:t xml:space="preserve">[2] </w:t>
                </w:r>
              </w:p>
            </w:tc>
            <w:tc>
              <w:tcPr>
                <w:tcW w:w="0" w:type="auto"/>
                <w:hideMark/>
              </w:tcPr>
              <w:p w14:paraId="693C69AB" w14:textId="77777777" w:rsidR="004F5EAE" w:rsidRDefault="004F5EAE">
                <w:pPr>
                  <w:pStyle w:val="Literaturverzeichnis"/>
                  <w:rPr>
                    <w:noProof/>
                  </w:rPr>
                </w:pPr>
                <w:r>
                  <w:rPr>
                    <w:noProof/>
                  </w:rPr>
                  <w:t xml:space="preserve">ENTSO-E, „Szenario Report des TYNDP 2022,“ [Online]. </w:t>
                </w:r>
                <w:r w:rsidRPr="004F5EAE">
                  <w:rPr>
                    <w:noProof/>
                    <w:lang w:val="en-GB"/>
                  </w:rPr>
                  <w:t xml:space="preserve">Available: https://2022.entsos-tyndp-scenarios.eu/. </w:t>
                </w:r>
                <w:r>
                  <w:rPr>
                    <w:noProof/>
                  </w:rPr>
                  <w:t>[Zugriff am 15. 11. 2022].</w:t>
                </w:r>
              </w:p>
            </w:tc>
          </w:tr>
          <w:tr w:rsidR="004F5EAE" w14:paraId="239A09C3" w14:textId="77777777">
            <w:trPr>
              <w:divId w:val="245112344"/>
              <w:tblCellSpacing w:w="15" w:type="dxa"/>
            </w:trPr>
            <w:tc>
              <w:tcPr>
                <w:tcW w:w="50" w:type="pct"/>
                <w:hideMark/>
              </w:tcPr>
              <w:p w14:paraId="449595AB" w14:textId="77777777" w:rsidR="004F5EAE" w:rsidRDefault="004F5EAE">
                <w:pPr>
                  <w:pStyle w:val="Literaturverzeichnis"/>
                  <w:rPr>
                    <w:noProof/>
                  </w:rPr>
                </w:pPr>
                <w:r>
                  <w:rPr>
                    <w:noProof/>
                  </w:rPr>
                  <w:t xml:space="preserve">[3] </w:t>
                </w:r>
              </w:p>
            </w:tc>
            <w:tc>
              <w:tcPr>
                <w:tcW w:w="0" w:type="auto"/>
                <w:hideMark/>
              </w:tcPr>
              <w:p w14:paraId="399BA873" w14:textId="77777777" w:rsidR="004F5EAE" w:rsidRDefault="004F5EAE">
                <w:pPr>
                  <w:pStyle w:val="Literaturverzeichnis"/>
                  <w:rPr>
                    <w:noProof/>
                  </w:rPr>
                </w:pPr>
                <w:r>
                  <w:rPr>
                    <w:noProof/>
                  </w:rPr>
                  <w:t xml:space="preserve">ENTSO-E, „CBA Guideline des TYNDP 2022,“ [Online]. </w:t>
                </w:r>
                <w:r w:rsidRPr="004F5EAE">
                  <w:rPr>
                    <w:noProof/>
                    <w:lang w:val="en-GB"/>
                  </w:rPr>
                  <w:t xml:space="preserve">Available: https://tyndp.entsoe.eu/cba/. </w:t>
                </w:r>
                <w:r>
                  <w:rPr>
                    <w:noProof/>
                  </w:rPr>
                  <w:t>[Zugriff am 15. 11. 2022].</w:t>
                </w:r>
              </w:p>
            </w:tc>
          </w:tr>
          <w:tr w:rsidR="004F5EAE" w14:paraId="568E39F4" w14:textId="77777777">
            <w:trPr>
              <w:divId w:val="245112344"/>
              <w:tblCellSpacing w:w="15" w:type="dxa"/>
            </w:trPr>
            <w:tc>
              <w:tcPr>
                <w:tcW w:w="50" w:type="pct"/>
                <w:hideMark/>
              </w:tcPr>
              <w:p w14:paraId="67754A57" w14:textId="77777777" w:rsidR="004F5EAE" w:rsidRDefault="004F5EAE">
                <w:pPr>
                  <w:pStyle w:val="Literaturverzeichnis"/>
                  <w:rPr>
                    <w:noProof/>
                  </w:rPr>
                </w:pPr>
                <w:r>
                  <w:rPr>
                    <w:noProof/>
                  </w:rPr>
                  <w:t xml:space="preserve">[4] </w:t>
                </w:r>
              </w:p>
            </w:tc>
            <w:tc>
              <w:tcPr>
                <w:tcW w:w="0" w:type="auto"/>
                <w:hideMark/>
              </w:tcPr>
              <w:p w14:paraId="19B1D6E8" w14:textId="77777777" w:rsidR="004F5EAE" w:rsidRDefault="004F5EAE">
                <w:pPr>
                  <w:pStyle w:val="Literaturverzeichnis"/>
                  <w:rPr>
                    <w:noProof/>
                  </w:rPr>
                </w:pPr>
                <w:r w:rsidRPr="004F5EAE">
                  <w:rPr>
                    <w:noProof/>
                    <w:lang w:val="en-GB"/>
                  </w:rPr>
                  <w:t xml:space="preserve">ENTSO-E, „System Needs Study des TYNDP 2022,“ [Online]. Available: https://needs.entsoe.eu/. </w:t>
                </w:r>
                <w:r>
                  <w:rPr>
                    <w:noProof/>
                  </w:rPr>
                  <w:t>[Zugriff am 5. 11. 2022].</w:t>
                </w:r>
              </w:p>
            </w:tc>
          </w:tr>
        </w:tbl>
        <w:p w14:paraId="29521DE8" w14:textId="77777777" w:rsidR="004F5EAE" w:rsidRDefault="004F5EAE">
          <w:pPr>
            <w:divId w:val="245112344"/>
            <w:rPr>
              <w:noProof/>
            </w:rPr>
          </w:pPr>
        </w:p>
        <w:p w14:paraId="1BE03EF1" w14:textId="7A366722" w:rsidR="00004D7C" w:rsidRDefault="00004D7C">
          <w:r>
            <w:rPr>
              <w:b/>
              <w:bCs/>
            </w:rPr>
            <w:fldChar w:fldCharType="end"/>
          </w:r>
        </w:p>
      </w:sdtContent>
    </w:sdt>
    <w:p w14:paraId="2D242C01" w14:textId="6DE29BFB" w:rsidR="00004D7C" w:rsidRDefault="00004D7C"/>
    <w:p w14:paraId="53EDE65A" w14:textId="1468C2FA" w:rsidR="00010E92" w:rsidRPr="00227125" w:rsidRDefault="00010E92" w:rsidP="00004D7C">
      <w:pPr>
        <w:pStyle w:val="Literatur"/>
      </w:pPr>
    </w:p>
    <w:p w14:paraId="68AAF16B" w14:textId="144ED352" w:rsidR="005E4D4F" w:rsidRDefault="005E4D4F" w:rsidP="00227125">
      <w:pPr>
        <w:pStyle w:val="Literatur"/>
      </w:pPr>
    </w:p>
    <w:p w14:paraId="2F0DAADC" w14:textId="3A608AFF" w:rsidR="00564569" w:rsidRDefault="00564569" w:rsidP="00227125">
      <w:pPr>
        <w:pStyle w:val="Literatur"/>
      </w:pPr>
    </w:p>
    <w:p w14:paraId="24C120A5" w14:textId="77777777" w:rsidR="00564569" w:rsidRDefault="00564569" w:rsidP="00227125">
      <w:pPr>
        <w:pStyle w:val="Literatur"/>
      </w:pPr>
    </w:p>
    <w:sectPr w:rsidR="00564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653D" w14:textId="77777777" w:rsidR="00372D53" w:rsidRDefault="00372D53">
      <w:r>
        <w:separator/>
      </w:r>
    </w:p>
  </w:endnote>
  <w:endnote w:type="continuationSeparator" w:id="0">
    <w:p w14:paraId="50B9BDD1" w14:textId="77777777" w:rsidR="00372D53" w:rsidRDefault="0037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A349" w14:textId="77777777" w:rsidR="00372D53" w:rsidRDefault="00372D53">
      <w:r>
        <w:separator/>
      </w:r>
    </w:p>
  </w:footnote>
  <w:footnote w:type="continuationSeparator" w:id="0">
    <w:p w14:paraId="2F96F006" w14:textId="77777777" w:rsidR="00372D53" w:rsidRDefault="00372D53">
      <w:r>
        <w:continuationSeparator/>
      </w:r>
    </w:p>
  </w:footnote>
  <w:footnote w:id="1">
    <w:p w14:paraId="1E07D6C0" w14:textId="4A6E0718" w:rsidR="00D64772" w:rsidRPr="000D03A3" w:rsidRDefault="00D64772" w:rsidP="00D64772">
      <w:pPr>
        <w:pStyle w:val="Funotentext"/>
        <w:rPr>
          <w:sz w:val="18"/>
          <w:szCs w:val="18"/>
        </w:rPr>
      </w:pPr>
      <w:r w:rsidRPr="00DB4BBE">
        <w:rPr>
          <w:rStyle w:val="Funotenzeichen"/>
          <w:sz w:val="18"/>
          <w:szCs w:val="18"/>
        </w:rPr>
        <w:footnoteRef/>
      </w:r>
      <w:r w:rsidR="00A97158">
        <w:rPr>
          <w:sz w:val="18"/>
          <w:szCs w:val="18"/>
        </w:rPr>
        <w:t xml:space="preserve">Jungautor, </w:t>
      </w:r>
      <w:r w:rsidRPr="00DB4BBE">
        <w:rPr>
          <w:sz w:val="18"/>
          <w:szCs w:val="18"/>
        </w:rPr>
        <w:t>Austrian</w:t>
      </w:r>
      <w:r w:rsidRPr="00C11AEF">
        <w:rPr>
          <w:sz w:val="18"/>
          <w:szCs w:val="18"/>
        </w:rPr>
        <w:t xml:space="preserve"> Power </w:t>
      </w:r>
      <w:proofErr w:type="spellStart"/>
      <w:r w:rsidRPr="00C11AEF">
        <w:rPr>
          <w:sz w:val="18"/>
          <w:szCs w:val="18"/>
        </w:rPr>
        <w:t>Grid</w:t>
      </w:r>
      <w:proofErr w:type="spellEnd"/>
      <w:r w:rsidRPr="00C11AEF">
        <w:rPr>
          <w:sz w:val="18"/>
          <w:szCs w:val="18"/>
        </w:rPr>
        <w:t xml:space="preserve">, </w:t>
      </w:r>
      <w:proofErr w:type="spellStart"/>
      <w:r w:rsidRPr="00C11AEF">
        <w:rPr>
          <w:sz w:val="18"/>
          <w:szCs w:val="18"/>
        </w:rPr>
        <w:t>Wagramerstraße</w:t>
      </w:r>
      <w:proofErr w:type="spellEnd"/>
      <w:r w:rsidRPr="00C11AEF">
        <w:rPr>
          <w:sz w:val="18"/>
          <w:szCs w:val="18"/>
        </w:rPr>
        <w:t xml:space="preserve"> 19, 1220 Wien, </w:t>
      </w:r>
      <w:hyperlink r:id="rId1" w:history="1">
        <w:r w:rsidR="00A97158" w:rsidRPr="00355E3B">
          <w:rPr>
            <w:rStyle w:val="Hyperlink"/>
          </w:rPr>
          <w:t>thomas.haydn@apg.at</w:t>
        </w:r>
      </w:hyperlink>
      <w:r w:rsidR="00A97158" w:rsidRPr="00A97158">
        <w:rPr>
          <w:sz w:val="18"/>
          <w:szCs w:val="18"/>
        </w:rPr>
        <w:t xml:space="preserve">, </w:t>
      </w:r>
      <w:r w:rsidR="00A97158">
        <w:rPr>
          <w:sz w:val="18"/>
          <w:szCs w:val="18"/>
        </w:rPr>
        <w:t>+43664 8834 3013</w:t>
      </w:r>
    </w:p>
  </w:footnote>
  <w:footnote w:id="2">
    <w:p w14:paraId="2DC651C0" w14:textId="469BBCDA" w:rsidR="00D64772" w:rsidRPr="00A97158" w:rsidRDefault="00D64772" w:rsidP="00D64772">
      <w:pPr>
        <w:pStyle w:val="Funotentext"/>
        <w:rPr>
          <w:sz w:val="18"/>
          <w:szCs w:val="18"/>
        </w:rPr>
      </w:pPr>
      <w:r w:rsidRPr="00DB4BBE">
        <w:rPr>
          <w:rStyle w:val="Funotenzeichen"/>
          <w:sz w:val="18"/>
          <w:szCs w:val="18"/>
        </w:rPr>
        <w:footnoteRef/>
      </w:r>
      <w:r w:rsidR="00A97158">
        <w:rPr>
          <w:sz w:val="18"/>
          <w:szCs w:val="18"/>
        </w:rPr>
        <w:t xml:space="preserve">Jungautor, </w:t>
      </w:r>
      <w:r w:rsidR="00A97158" w:rsidRPr="00DB4BBE">
        <w:rPr>
          <w:sz w:val="18"/>
          <w:szCs w:val="18"/>
        </w:rPr>
        <w:t>Austrian</w:t>
      </w:r>
      <w:r w:rsidR="00A97158" w:rsidRPr="00C11AEF">
        <w:rPr>
          <w:sz w:val="18"/>
          <w:szCs w:val="18"/>
        </w:rPr>
        <w:t xml:space="preserve"> Power </w:t>
      </w:r>
      <w:proofErr w:type="spellStart"/>
      <w:r w:rsidR="00A97158" w:rsidRPr="00C11AEF">
        <w:rPr>
          <w:sz w:val="18"/>
          <w:szCs w:val="18"/>
        </w:rPr>
        <w:t>Grid</w:t>
      </w:r>
      <w:proofErr w:type="spellEnd"/>
      <w:r w:rsidR="00A97158" w:rsidRPr="00C11AEF">
        <w:rPr>
          <w:sz w:val="18"/>
          <w:szCs w:val="18"/>
        </w:rPr>
        <w:t xml:space="preserve">, </w:t>
      </w:r>
      <w:proofErr w:type="spellStart"/>
      <w:r w:rsidR="00A97158" w:rsidRPr="00C11AEF">
        <w:rPr>
          <w:sz w:val="18"/>
          <w:szCs w:val="18"/>
        </w:rPr>
        <w:t>Wagramerstraße</w:t>
      </w:r>
      <w:proofErr w:type="spellEnd"/>
      <w:r w:rsidR="00A97158" w:rsidRPr="00C11AEF">
        <w:rPr>
          <w:sz w:val="18"/>
          <w:szCs w:val="18"/>
        </w:rPr>
        <w:t xml:space="preserve"> 19, 1220 Wien, </w:t>
      </w:r>
      <w:r w:rsidRPr="00A97158">
        <w:rPr>
          <w:rStyle w:val="Hyperlink"/>
        </w:rPr>
        <w:t>timothy.hofmann@apg.at</w:t>
      </w:r>
      <w:r w:rsidR="00A97158">
        <w:rPr>
          <w:rStyle w:val="Hyperlink"/>
        </w:rPr>
        <w:t>,</w:t>
      </w:r>
      <w:r w:rsidRPr="00C11AEF">
        <w:rPr>
          <w:sz w:val="18"/>
          <w:szCs w:val="18"/>
        </w:rPr>
        <w:t xml:space="preserve"> </w:t>
      </w:r>
      <w:r w:rsidR="00A97158">
        <w:rPr>
          <w:sz w:val="18"/>
          <w:szCs w:val="18"/>
        </w:rPr>
        <w:t>+43664 8834 3039</w:t>
      </w:r>
    </w:p>
  </w:footnote>
  <w:footnote w:id="3">
    <w:p w14:paraId="531BF7E5" w14:textId="6BA449B7" w:rsidR="00D64772" w:rsidRPr="00C11AEF" w:rsidRDefault="00D64772" w:rsidP="00D64772">
      <w:pPr>
        <w:rPr>
          <w:sz w:val="18"/>
          <w:szCs w:val="18"/>
        </w:rPr>
      </w:pPr>
      <w:r w:rsidRPr="00C11AEF">
        <w:rPr>
          <w:rStyle w:val="Funotenzeichen"/>
          <w:sz w:val="18"/>
          <w:szCs w:val="18"/>
        </w:rPr>
        <w:footnoteRef/>
      </w:r>
      <w:r w:rsidRPr="00C11AEF">
        <w:rPr>
          <w:sz w:val="18"/>
          <w:szCs w:val="18"/>
        </w:rPr>
        <w:t xml:space="preserve"> Austrian Power </w:t>
      </w:r>
      <w:proofErr w:type="spellStart"/>
      <w:r w:rsidRPr="00C11AEF">
        <w:rPr>
          <w:sz w:val="18"/>
          <w:szCs w:val="18"/>
        </w:rPr>
        <w:t>Grid</w:t>
      </w:r>
      <w:proofErr w:type="spellEnd"/>
      <w:r w:rsidRPr="00C11AEF">
        <w:rPr>
          <w:sz w:val="18"/>
          <w:szCs w:val="18"/>
        </w:rPr>
        <w:t xml:space="preserve">, </w:t>
      </w:r>
      <w:proofErr w:type="spellStart"/>
      <w:r w:rsidRPr="00C11AEF">
        <w:rPr>
          <w:sz w:val="18"/>
          <w:szCs w:val="18"/>
        </w:rPr>
        <w:t>Wagramerstraße</w:t>
      </w:r>
      <w:proofErr w:type="spellEnd"/>
      <w:r w:rsidRPr="00C11AEF">
        <w:rPr>
          <w:sz w:val="18"/>
          <w:szCs w:val="18"/>
        </w:rPr>
        <w:t xml:space="preserve"> 19, 1220 Wien, </w:t>
      </w:r>
      <w:r w:rsidRPr="00966C2A">
        <w:rPr>
          <w:rStyle w:val="Hyperlink"/>
          <w:szCs w:val="20"/>
        </w:rPr>
        <w:t>stephan.oesterbauer@apg.at</w:t>
      </w:r>
      <w:r>
        <w:rPr>
          <w:sz w:val="18"/>
          <w:szCs w:val="18"/>
        </w:rPr>
        <w:t>,</w:t>
      </w:r>
      <w:r w:rsidR="00A97158">
        <w:rPr>
          <w:sz w:val="18"/>
          <w:szCs w:val="18"/>
        </w:rPr>
        <w:t xml:space="preserve"> +43664 8834 2900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157674A"/>
    <w:multiLevelType w:val="hybridMultilevel"/>
    <w:tmpl w:val="B622E568"/>
    <w:lvl w:ilvl="0" w:tplc="019CF946">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75967"/>
    <w:multiLevelType w:val="multilevel"/>
    <w:tmpl w:val="0978BA90"/>
    <w:numStyleLink w:val="Aufzhlung"/>
  </w:abstractNum>
  <w:abstractNum w:abstractNumId="4"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F"/>
    <w:rsid w:val="00004D7C"/>
    <w:rsid w:val="00010E92"/>
    <w:rsid w:val="00107BA1"/>
    <w:rsid w:val="00153CF8"/>
    <w:rsid w:val="0018089F"/>
    <w:rsid w:val="001E3489"/>
    <w:rsid w:val="001E6A03"/>
    <w:rsid w:val="002014D3"/>
    <w:rsid w:val="00227125"/>
    <w:rsid w:val="00262FD5"/>
    <w:rsid w:val="002946B8"/>
    <w:rsid w:val="00294B1A"/>
    <w:rsid w:val="002C73F4"/>
    <w:rsid w:val="00330D33"/>
    <w:rsid w:val="00335E63"/>
    <w:rsid w:val="00350F98"/>
    <w:rsid w:val="00372D53"/>
    <w:rsid w:val="0039514F"/>
    <w:rsid w:val="003A0F2B"/>
    <w:rsid w:val="003B676F"/>
    <w:rsid w:val="003C28FE"/>
    <w:rsid w:val="003D2718"/>
    <w:rsid w:val="00416D97"/>
    <w:rsid w:val="00483B87"/>
    <w:rsid w:val="004A3F10"/>
    <w:rsid w:val="004E6643"/>
    <w:rsid w:val="004F5EAE"/>
    <w:rsid w:val="00527673"/>
    <w:rsid w:val="0053127B"/>
    <w:rsid w:val="00564569"/>
    <w:rsid w:val="005B1ADB"/>
    <w:rsid w:val="005B21F0"/>
    <w:rsid w:val="005E4D4F"/>
    <w:rsid w:val="005F366A"/>
    <w:rsid w:val="00615792"/>
    <w:rsid w:val="006556E7"/>
    <w:rsid w:val="006820AD"/>
    <w:rsid w:val="006B3070"/>
    <w:rsid w:val="006F7496"/>
    <w:rsid w:val="00721FF8"/>
    <w:rsid w:val="007378C8"/>
    <w:rsid w:val="00741EC0"/>
    <w:rsid w:val="00765788"/>
    <w:rsid w:val="00803917"/>
    <w:rsid w:val="008455E3"/>
    <w:rsid w:val="00887F61"/>
    <w:rsid w:val="008B16E9"/>
    <w:rsid w:val="009410D4"/>
    <w:rsid w:val="009E41CC"/>
    <w:rsid w:val="00A07737"/>
    <w:rsid w:val="00A156E4"/>
    <w:rsid w:val="00A15F24"/>
    <w:rsid w:val="00A3553E"/>
    <w:rsid w:val="00A6148D"/>
    <w:rsid w:val="00A855B1"/>
    <w:rsid w:val="00A97158"/>
    <w:rsid w:val="00AC5669"/>
    <w:rsid w:val="00B80D16"/>
    <w:rsid w:val="00BF05FA"/>
    <w:rsid w:val="00BF4A6B"/>
    <w:rsid w:val="00C359B3"/>
    <w:rsid w:val="00C9125A"/>
    <w:rsid w:val="00CA2AA8"/>
    <w:rsid w:val="00CC7126"/>
    <w:rsid w:val="00CE1A70"/>
    <w:rsid w:val="00CE39A4"/>
    <w:rsid w:val="00D01F7B"/>
    <w:rsid w:val="00D250D7"/>
    <w:rsid w:val="00D3222B"/>
    <w:rsid w:val="00D53E86"/>
    <w:rsid w:val="00D64482"/>
    <w:rsid w:val="00D64772"/>
    <w:rsid w:val="00D736F8"/>
    <w:rsid w:val="00D84D72"/>
    <w:rsid w:val="00D872A1"/>
    <w:rsid w:val="00DC3CD8"/>
    <w:rsid w:val="00DC7B92"/>
    <w:rsid w:val="00DE4A4A"/>
    <w:rsid w:val="00E520E6"/>
    <w:rsid w:val="00E965F4"/>
    <w:rsid w:val="00F55528"/>
    <w:rsid w:val="00FA185F"/>
    <w:rsid w:val="00FA5205"/>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E8E"/>
  <w15:chartTrackingRefBased/>
  <w15:docId w15:val="{5AB661ED-F8E9-B842-BFAC-3D71C3A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val="de-DE" w:eastAsia="ko-KR"/>
    </w:rPr>
  </w:style>
  <w:style w:type="paragraph" w:styleId="berschrift1">
    <w:name w:val="heading 1"/>
    <w:basedOn w:val="Standard"/>
    <w:next w:val="Standard"/>
    <w:link w:val="berschrift1Zchn"/>
    <w:uiPriority w:val="9"/>
    <w:qFormat/>
    <w:rsid w:val="00004D7C"/>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styleId="Funotentext">
    <w:name w:val="footnote text"/>
    <w:basedOn w:val="Standard"/>
    <w:link w:val="FunotentextZchn"/>
    <w:unhideWhenUsed/>
    <w:rsid w:val="00D64772"/>
    <w:rPr>
      <w:szCs w:val="20"/>
    </w:rPr>
  </w:style>
  <w:style w:type="character" w:customStyle="1" w:styleId="FunotentextZchn">
    <w:name w:val="Fußnotentext Zchn"/>
    <w:basedOn w:val="Absatz-Standardschriftart"/>
    <w:link w:val="Funotentext"/>
    <w:rsid w:val="00D64772"/>
    <w:rPr>
      <w:rFonts w:ascii="Arial" w:hAnsi="Arial"/>
      <w:lang w:val="de-DE" w:eastAsia="ko-KR"/>
    </w:rPr>
  </w:style>
  <w:style w:type="character" w:styleId="Hyperlink">
    <w:name w:val="Hyperlink"/>
    <w:rsid w:val="00D64772"/>
    <w:rPr>
      <w:color w:val="0000FF"/>
      <w:u w:val="single"/>
    </w:rPr>
  </w:style>
  <w:style w:type="character" w:customStyle="1" w:styleId="berschrift1Zchn">
    <w:name w:val="Überschrift 1 Zchn"/>
    <w:basedOn w:val="Absatz-Standardschriftart"/>
    <w:link w:val="berschrift1"/>
    <w:uiPriority w:val="9"/>
    <w:rsid w:val="00004D7C"/>
    <w:rPr>
      <w:rFonts w:asciiTheme="majorHAnsi" w:eastAsiaTheme="majorEastAsia" w:hAnsiTheme="majorHAnsi" w:cstheme="majorBidi"/>
      <w:color w:val="2F5496" w:themeColor="accent1" w:themeShade="BF"/>
      <w:sz w:val="32"/>
      <w:szCs w:val="32"/>
      <w:lang w:val="en-GB"/>
    </w:rPr>
  </w:style>
  <w:style w:type="paragraph" w:styleId="Literaturverzeichnis">
    <w:name w:val="Bibliography"/>
    <w:basedOn w:val="Standard"/>
    <w:next w:val="Standard"/>
    <w:uiPriority w:val="37"/>
    <w:unhideWhenUsed/>
    <w:rsid w:val="00004D7C"/>
  </w:style>
  <w:style w:type="paragraph" w:styleId="Listenabsatz">
    <w:name w:val="List Paragraph"/>
    <w:basedOn w:val="Standard"/>
    <w:uiPriority w:val="34"/>
    <w:qFormat/>
    <w:rsid w:val="00D84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8307">
      <w:bodyDiv w:val="1"/>
      <w:marLeft w:val="0"/>
      <w:marRight w:val="0"/>
      <w:marTop w:val="0"/>
      <w:marBottom w:val="0"/>
      <w:divBdr>
        <w:top w:val="none" w:sz="0" w:space="0" w:color="auto"/>
        <w:left w:val="none" w:sz="0" w:space="0" w:color="auto"/>
        <w:bottom w:val="none" w:sz="0" w:space="0" w:color="auto"/>
        <w:right w:val="none" w:sz="0" w:space="0" w:color="auto"/>
      </w:divBdr>
    </w:div>
    <w:div w:id="245112344">
      <w:bodyDiv w:val="1"/>
      <w:marLeft w:val="0"/>
      <w:marRight w:val="0"/>
      <w:marTop w:val="0"/>
      <w:marBottom w:val="0"/>
      <w:divBdr>
        <w:top w:val="none" w:sz="0" w:space="0" w:color="auto"/>
        <w:left w:val="none" w:sz="0" w:space="0" w:color="auto"/>
        <w:bottom w:val="none" w:sz="0" w:space="0" w:color="auto"/>
        <w:right w:val="none" w:sz="0" w:space="0" w:color="auto"/>
      </w:divBdr>
    </w:div>
    <w:div w:id="667907115">
      <w:bodyDiv w:val="1"/>
      <w:marLeft w:val="0"/>
      <w:marRight w:val="0"/>
      <w:marTop w:val="0"/>
      <w:marBottom w:val="0"/>
      <w:divBdr>
        <w:top w:val="none" w:sz="0" w:space="0" w:color="auto"/>
        <w:left w:val="none" w:sz="0" w:space="0" w:color="auto"/>
        <w:bottom w:val="none" w:sz="0" w:space="0" w:color="auto"/>
        <w:right w:val="none" w:sz="0" w:space="0" w:color="auto"/>
      </w:divBdr>
    </w:div>
    <w:div w:id="1094283811">
      <w:bodyDiv w:val="1"/>
      <w:marLeft w:val="0"/>
      <w:marRight w:val="0"/>
      <w:marTop w:val="0"/>
      <w:marBottom w:val="0"/>
      <w:divBdr>
        <w:top w:val="none" w:sz="0" w:space="0" w:color="auto"/>
        <w:left w:val="none" w:sz="0" w:space="0" w:color="auto"/>
        <w:bottom w:val="none" w:sz="0" w:space="0" w:color="auto"/>
        <w:right w:val="none" w:sz="0" w:space="0" w:color="auto"/>
      </w:divBdr>
    </w:div>
    <w:div w:id="1124155048">
      <w:bodyDiv w:val="1"/>
      <w:marLeft w:val="0"/>
      <w:marRight w:val="0"/>
      <w:marTop w:val="0"/>
      <w:marBottom w:val="0"/>
      <w:divBdr>
        <w:top w:val="none" w:sz="0" w:space="0" w:color="auto"/>
        <w:left w:val="none" w:sz="0" w:space="0" w:color="auto"/>
        <w:bottom w:val="none" w:sz="0" w:space="0" w:color="auto"/>
        <w:right w:val="none" w:sz="0" w:space="0" w:color="auto"/>
      </w:divBdr>
    </w:div>
    <w:div w:id="1310473305">
      <w:bodyDiv w:val="1"/>
      <w:marLeft w:val="0"/>
      <w:marRight w:val="0"/>
      <w:marTop w:val="0"/>
      <w:marBottom w:val="0"/>
      <w:divBdr>
        <w:top w:val="none" w:sz="0" w:space="0" w:color="auto"/>
        <w:left w:val="none" w:sz="0" w:space="0" w:color="auto"/>
        <w:bottom w:val="none" w:sz="0" w:space="0" w:color="auto"/>
        <w:right w:val="none" w:sz="0" w:space="0" w:color="auto"/>
      </w:divBdr>
    </w:div>
    <w:div w:id="1400246822">
      <w:bodyDiv w:val="1"/>
      <w:marLeft w:val="0"/>
      <w:marRight w:val="0"/>
      <w:marTop w:val="0"/>
      <w:marBottom w:val="0"/>
      <w:divBdr>
        <w:top w:val="none" w:sz="0" w:space="0" w:color="auto"/>
        <w:left w:val="none" w:sz="0" w:space="0" w:color="auto"/>
        <w:bottom w:val="none" w:sz="0" w:space="0" w:color="auto"/>
        <w:right w:val="none" w:sz="0" w:space="0" w:color="auto"/>
      </w:divBdr>
    </w:div>
    <w:div w:id="1432123184">
      <w:bodyDiv w:val="1"/>
      <w:marLeft w:val="0"/>
      <w:marRight w:val="0"/>
      <w:marTop w:val="0"/>
      <w:marBottom w:val="0"/>
      <w:divBdr>
        <w:top w:val="none" w:sz="0" w:space="0" w:color="auto"/>
        <w:left w:val="none" w:sz="0" w:space="0" w:color="auto"/>
        <w:bottom w:val="none" w:sz="0" w:space="0" w:color="auto"/>
        <w:right w:val="none" w:sz="0" w:space="0" w:color="auto"/>
      </w:divBdr>
    </w:div>
    <w:div w:id="1440374454">
      <w:bodyDiv w:val="1"/>
      <w:marLeft w:val="0"/>
      <w:marRight w:val="0"/>
      <w:marTop w:val="0"/>
      <w:marBottom w:val="0"/>
      <w:divBdr>
        <w:top w:val="none" w:sz="0" w:space="0" w:color="auto"/>
        <w:left w:val="none" w:sz="0" w:space="0" w:color="auto"/>
        <w:bottom w:val="none" w:sz="0" w:space="0" w:color="auto"/>
        <w:right w:val="none" w:sz="0" w:space="0" w:color="auto"/>
      </w:divBdr>
    </w:div>
    <w:div w:id="1712222053">
      <w:bodyDiv w:val="1"/>
      <w:marLeft w:val="0"/>
      <w:marRight w:val="0"/>
      <w:marTop w:val="0"/>
      <w:marBottom w:val="0"/>
      <w:divBdr>
        <w:top w:val="none" w:sz="0" w:space="0" w:color="auto"/>
        <w:left w:val="none" w:sz="0" w:space="0" w:color="auto"/>
        <w:bottom w:val="none" w:sz="0" w:space="0" w:color="auto"/>
        <w:right w:val="none" w:sz="0" w:space="0" w:color="auto"/>
      </w:divBdr>
    </w:div>
    <w:div w:id="1839539845">
      <w:bodyDiv w:val="1"/>
      <w:marLeft w:val="0"/>
      <w:marRight w:val="0"/>
      <w:marTop w:val="0"/>
      <w:marBottom w:val="0"/>
      <w:divBdr>
        <w:top w:val="none" w:sz="0" w:space="0" w:color="auto"/>
        <w:left w:val="none" w:sz="0" w:space="0" w:color="auto"/>
        <w:bottom w:val="none" w:sz="0" w:space="0" w:color="auto"/>
        <w:right w:val="none" w:sz="0" w:space="0" w:color="auto"/>
      </w:divBdr>
    </w:div>
    <w:div w:id="20659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homas.haydn@apg.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ENT22</b:Tag>
    <b:SourceType>DocumentFromInternetSite</b:SourceType>
    <b:Guid>{9ABF18A5-3629-471F-8088-C3398957088B}</b:Guid>
    <b:Author>
      <b:Author>
        <b:Corporate>ENTSO-E</b:Corporate>
      </b:Author>
    </b:Author>
    <b:Title>Projektseite des TYNDP 2022</b:Title>
    <b:YearAccessed>2022</b:YearAccessed>
    <b:MonthAccessed>11.</b:MonthAccessed>
    <b:DayAccessed>14.</b:DayAccessed>
    <b:URL>https://tyndp.entsoe.eu/</b:URL>
    <b:RefOrder>1</b:RefOrder>
  </b:Source>
  <b:Source>
    <b:Tag>SzenarioReport</b:Tag>
    <b:SourceType>InternetSite</b:SourceType>
    <b:Guid>{56205089-1E19-4C64-ABCF-849FFC583194}</b:Guid>
    <b:Author>
      <b:Author>
        <b:NameList>
          <b:Person>
            <b:Last>ENTSO-E</b:Last>
          </b:Person>
        </b:NameList>
      </b:Author>
    </b:Author>
    <b:Title>Szenario Report des TYNDP 2022</b:Title>
    <b:YearAccessed>2022</b:YearAccessed>
    <b:MonthAccessed>11.</b:MonthAccessed>
    <b:DayAccessed>15.</b:DayAccessed>
    <b:URL>https://2022.entsos-tyndp-scenarios.eu/</b:URL>
    <b:RefOrder>2</b:RefOrder>
  </b:Source>
  <b:Source>
    <b:Tag>CBA</b:Tag>
    <b:SourceType>InternetSite</b:SourceType>
    <b:Guid>{9C56B7C6-9E2E-4EE0-A3FC-447BDB09418B}</b:Guid>
    <b:Author>
      <b:Author>
        <b:NameList>
          <b:Person>
            <b:Last>ENTSO-E</b:Last>
          </b:Person>
        </b:NameList>
      </b:Author>
    </b:Author>
    <b:Title>CBA Guideline des TYNDP 2022</b:Title>
    <b:YearAccessed>2022</b:YearAccessed>
    <b:MonthAccessed>11.</b:MonthAccessed>
    <b:DayAccessed>15.</b:DayAccessed>
    <b:URL>https://tyndp.entsoe.eu/cba/</b:URL>
    <b:RefOrder>3</b:RefOrder>
  </b:Source>
  <b:Source>
    <b:Tag>SNS</b:Tag>
    <b:SourceType>InternetSite</b:SourceType>
    <b:Guid>{F26D9F5D-EF90-42B0-82CB-A454F2973F64}</b:Guid>
    <b:Author>
      <b:Author>
        <b:NameList>
          <b:Person>
            <b:Last>ENTSO-E</b:Last>
          </b:Person>
        </b:NameList>
      </b:Author>
    </b:Author>
    <b:Title>System Needs Study des TYNDP 2022</b:Title>
    <b:YearAccessed>2022</b:YearAccessed>
    <b:MonthAccessed>11.</b:MonthAccessed>
    <b:DayAccessed>5.</b:DayAccessed>
    <b:URL>https://needs.entsoe.eu/</b:URL>
    <b:RefOrder>4</b:RefOrder>
  </b:Source>
</b:Sources>
</file>

<file path=customXml/itemProps1.xml><?xml version="1.0" encoding="utf-8"?>
<ds:datastoreItem xmlns:ds="http://schemas.openxmlformats.org/officeDocument/2006/customXml" ds:itemID="{64021175-07BC-42D2-81C5-09EB0587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3746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Beaudeau Jean-Yves</cp:lastModifiedBy>
  <cp:revision>11</cp:revision>
  <dcterms:created xsi:type="dcterms:W3CDTF">2022-11-15T17:07:00Z</dcterms:created>
  <dcterms:modified xsi:type="dcterms:W3CDTF">2022-11-18T12:44:00Z</dcterms:modified>
</cp:coreProperties>
</file>