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4605" w14:textId="1026D834" w:rsidR="008135F5" w:rsidRDefault="008135F5" w:rsidP="008135F5">
      <w:pPr>
        <w:spacing w:after="120"/>
        <w:jc w:val="center"/>
        <w:rPr>
          <w:rFonts w:cs="Arial"/>
          <w:b/>
          <w:bCs/>
          <w:sz w:val="28"/>
          <w:szCs w:val="25"/>
          <w:lang w:val="en-GB" w:eastAsia="de-AT"/>
        </w:rPr>
      </w:pPr>
      <w:r w:rsidRPr="00C86F55">
        <w:rPr>
          <w:rFonts w:cs="Arial"/>
          <w:b/>
          <w:bCs/>
          <w:sz w:val="28"/>
          <w:szCs w:val="25"/>
          <w:lang w:val="en-GB" w:eastAsia="de-AT"/>
        </w:rPr>
        <w:t xml:space="preserve">Social </w:t>
      </w:r>
      <w:r>
        <w:rPr>
          <w:rFonts w:cs="Arial"/>
          <w:b/>
          <w:bCs/>
          <w:sz w:val="28"/>
          <w:szCs w:val="25"/>
          <w:lang w:val="en-GB" w:eastAsia="de-AT"/>
        </w:rPr>
        <w:t>a</w:t>
      </w:r>
      <w:r w:rsidRPr="00C86F55">
        <w:rPr>
          <w:rFonts w:cs="Arial"/>
          <w:b/>
          <w:bCs/>
          <w:sz w:val="28"/>
          <w:szCs w:val="25"/>
          <w:lang w:val="en-GB" w:eastAsia="de-AT"/>
        </w:rPr>
        <w:t xml:space="preserve">cceptance of </w:t>
      </w:r>
      <w:r>
        <w:rPr>
          <w:rFonts w:cs="Arial"/>
          <w:b/>
          <w:bCs/>
          <w:sz w:val="28"/>
          <w:szCs w:val="25"/>
          <w:lang w:val="en-GB" w:eastAsia="de-AT"/>
        </w:rPr>
        <w:t>future renewable energy technologies</w:t>
      </w:r>
      <w:r w:rsidR="00E6525D">
        <w:rPr>
          <w:rFonts w:cs="Arial"/>
          <w:b/>
          <w:bCs/>
          <w:sz w:val="28"/>
          <w:szCs w:val="25"/>
          <w:lang w:val="en-GB" w:eastAsia="de-AT"/>
        </w:rPr>
        <w:t xml:space="preserve"> (RET)</w:t>
      </w:r>
      <w:r w:rsidRPr="00C86F55">
        <w:rPr>
          <w:rFonts w:cs="Arial"/>
          <w:b/>
          <w:bCs/>
          <w:sz w:val="28"/>
          <w:szCs w:val="25"/>
          <w:lang w:val="en-GB" w:eastAsia="de-AT"/>
        </w:rPr>
        <w:t xml:space="preserve"> </w:t>
      </w:r>
      <w:r>
        <w:rPr>
          <w:rFonts w:cs="Arial"/>
          <w:b/>
          <w:bCs/>
          <w:sz w:val="28"/>
          <w:szCs w:val="25"/>
          <w:lang w:val="en-GB" w:eastAsia="de-AT"/>
        </w:rPr>
        <w:t>in Austrian tourism regions</w:t>
      </w:r>
    </w:p>
    <w:p w14:paraId="0C6BDB33" w14:textId="77777777" w:rsidR="008135F5" w:rsidRPr="008135F5" w:rsidRDefault="00BF05FA" w:rsidP="008135F5">
      <w:pPr>
        <w:pStyle w:val="AutorenOrganisation"/>
      </w:pPr>
      <w:r>
        <w:t>Themenbereich</w:t>
      </w:r>
      <w:r w:rsidR="008135F5">
        <w:t xml:space="preserve">: </w:t>
      </w:r>
      <w:r w:rsidR="008135F5" w:rsidRPr="008135F5">
        <w:t>Energieerzeugung/-infrastruktur und Netze</w:t>
      </w:r>
    </w:p>
    <w:p w14:paraId="47B52241" w14:textId="2F2B5572" w:rsidR="00BF05FA" w:rsidRDefault="00BF05FA" w:rsidP="00A156E4">
      <w:pPr>
        <w:pStyle w:val="AutorenOrganisation"/>
      </w:pPr>
    </w:p>
    <w:p w14:paraId="6039BE6E" w14:textId="02D2AC65" w:rsidR="008135F5" w:rsidRPr="00583B9A" w:rsidRDefault="008135F5" w:rsidP="005E4D4F">
      <w:pPr>
        <w:pStyle w:val="AutorenOrganisation"/>
        <w:rPr>
          <w:vertAlign w:val="superscript"/>
        </w:rPr>
      </w:pPr>
      <w:r w:rsidRPr="00583B9A">
        <w:t>Veronika DWORZAK</w:t>
      </w:r>
      <w:r w:rsidR="005E4D4F" w:rsidRPr="00010E92">
        <w:rPr>
          <w:vertAlign w:val="superscript"/>
        </w:rPr>
        <w:footnoteReference w:id="1"/>
      </w:r>
      <w:r w:rsidR="00A156E4" w:rsidRPr="00583B9A">
        <w:rPr>
          <w:vertAlign w:val="superscript"/>
        </w:rPr>
        <w:t>(1)</w:t>
      </w:r>
      <w:r w:rsidR="005E4D4F" w:rsidRPr="00583B9A">
        <w:t xml:space="preserve">, </w:t>
      </w:r>
      <w:r w:rsidRPr="00583B9A">
        <w:t>Robert Gennaro SPOSATO</w:t>
      </w:r>
      <w:r w:rsidRPr="007B2A07">
        <w:rPr>
          <w:vertAlign w:val="superscript"/>
          <w:lang w:val="en-US"/>
        </w:rPr>
        <w:footnoteReference w:id="2"/>
      </w:r>
      <w:r w:rsidRPr="00583B9A">
        <w:rPr>
          <w:vertAlign w:val="superscript"/>
        </w:rPr>
        <w:t>(1)</w:t>
      </w:r>
      <w:r w:rsidRPr="00583B9A">
        <w:t>, Nina HAMPL</w:t>
      </w:r>
      <w:r w:rsidRPr="00583B9A">
        <w:rPr>
          <w:vertAlign w:val="superscript"/>
        </w:rPr>
        <w:t xml:space="preserve">3(2) </w:t>
      </w:r>
    </w:p>
    <w:p w14:paraId="31BB6490" w14:textId="7CA557F9" w:rsidR="005E4D4F" w:rsidRPr="00583B9A" w:rsidRDefault="00A156E4" w:rsidP="005E4D4F">
      <w:pPr>
        <w:pStyle w:val="AutorenOrganisation"/>
        <w:rPr>
          <w:lang w:val="en-GB"/>
        </w:rPr>
      </w:pPr>
      <w:r w:rsidRPr="00583B9A">
        <w:rPr>
          <w:vertAlign w:val="superscript"/>
          <w:lang w:val="en-GB"/>
        </w:rPr>
        <w:t>(</w:t>
      </w:r>
      <w:r w:rsidR="00010E92" w:rsidRPr="00583B9A">
        <w:rPr>
          <w:vertAlign w:val="superscript"/>
          <w:lang w:val="en-GB"/>
        </w:rPr>
        <w:t>1</w:t>
      </w:r>
      <w:r w:rsidRPr="00583B9A">
        <w:rPr>
          <w:vertAlign w:val="superscript"/>
          <w:lang w:val="en-GB"/>
        </w:rPr>
        <w:t>)</w:t>
      </w:r>
      <w:r w:rsidR="008135F5" w:rsidRPr="00583B9A">
        <w:rPr>
          <w:vertAlign w:val="superscript"/>
          <w:lang w:val="en-GB"/>
        </w:rPr>
        <w:t xml:space="preserve"> </w:t>
      </w:r>
      <w:r w:rsidR="008135F5" w:rsidRPr="00583B9A">
        <w:rPr>
          <w:lang w:val="en-GB"/>
        </w:rPr>
        <w:t>Universität Klagenfurt</w:t>
      </w:r>
      <w:r w:rsidR="00010E92" w:rsidRPr="00583B9A">
        <w:rPr>
          <w:lang w:val="en-GB"/>
        </w:rPr>
        <w:t xml:space="preserve">, </w:t>
      </w:r>
      <w:r w:rsidRPr="00583B9A">
        <w:rPr>
          <w:vertAlign w:val="superscript"/>
          <w:lang w:val="en-GB"/>
        </w:rPr>
        <w:t>(</w:t>
      </w:r>
      <w:r w:rsidR="00010E92" w:rsidRPr="00583B9A">
        <w:rPr>
          <w:vertAlign w:val="superscript"/>
          <w:lang w:val="en-GB"/>
        </w:rPr>
        <w:t>2</w:t>
      </w:r>
      <w:r w:rsidRPr="00583B9A">
        <w:rPr>
          <w:vertAlign w:val="superscript"/>
          <w:lang w:val="en-GB"/>
        </w:rPr>
        <w:t>)</w:t>
      </w:r>
      <w:r w:rsidR="008135F5" w:rsidRPr="00583B9A">
        <w:rPr>
          <w:lang w:val="en-GB"/>
        </w:rPr>
        <w:t xml:space="preserve"> </w:t>
      </w:r>
      <w:proofErr w:type="spellStart"/>
      <w:r w:rsidR="008135F5" w:rsidRPr="00583B9A">
        <w:rPr>
          <w:lang w:val="en-GB"/>
        </w:rPr>
        <w:t>Wirtschaftsuniversität</w:t>
      </w:r>
      <w:proofErr w:type="spellEnd"/>
      <w:r w:rsidR="008135F5" w:rsidRPr="00583B9A">
        <w:rPr>
          <w:lang w:val="en-GB"/>
        </w:rPr>
        <w:t xml:space="preserve"> Wien</w:t>
      </w:r>
    </w:p>
    <w:p w14:paraId="7D0DC61F" w14:textId="77777777" w:rsidR="00A07737" w:rsidRPr="00583B9A" w:rsidRDefault="00A07737" w:rsidP="00FB69AE">
      <w:pPr>
        <w:rPr>
          <w:lang w:val="en-GB"/>
        </w:rPr>
      </w:pPr>
    </w:p>
    <w:p w14:paraId="14767CFD" w14:textId="5F9537CC" w:rsidR="005E4D4F" w:rsidRPr="00583B9A" w:rsidRDefault="005E4D4F" w:rsidP="005E4D4F">
      <w:pPr>
        <w:pStyle w:val="Ueberschrift"/>
        <w:rPr>
          <w:lang w:val="en-GB"/>
        </w:rPr>
      </w:pPr>
      <w:r w:rsidRPr="00583B9A">
        <w:rPr>
          <w:lang w:val="en-GB"/>
        </w:rPr>
        <w:t xml:space="preserve">Motivation </w:t>
      </w:r>
    </w:p>
    <w:p w14:paraId="03E6183E" w14:textId="776AADD7" w:rsidR="00B3438C" w:rsidRPr="008F42F3" w:rsidRDefault="00583B9A" w:rsidP="00B3438C">
      <w:pPr>
        <w:rPr>
          <w:lang w:val="en-GB"/>
        </w:rPr>
      </w:pPr>
      <w:r>
        <w:rPr>
          <w:lang w:val="en-GB"/>
        </w:rPr>
        <w:t>T</w:t>
      </w:r>
      <w:r w:rsidRPr="008F42F3">
        <w:rPr>
          <w:lang w:val="en-GB"/>
        </w:rPr>
        <w:t xml:space="preserve">o combat </w:t>
      </w:r>
      <w:r w:rsidR="00E7313F" w:rsidRPr="008F42F3">
        <w:rPr>
          <w:lang w:val="en-GB"/>
        </w:rPr>
        <w:t>climate</w:t>
      </w:r>
      <w:r w:rsidRPr="008F42F3">
        <w:rPr>
          <w:lang w:val="en-GB"/>
        </w:rPr>
        <w:t xml:space="preserve"> change</w:t>
      </w:r>
      <w:r w:rsidR="003476A1">
        <w:rPr>
          <w:lang w:val="en-GB"/>
        </w:rPr>
        <w:t>,</w:t>
      </w:r>
      <w:r>
        <w:rPr>
          <w:lang w:val="en-GB"/>
        </w:rPr>
        <w:t xml:space="preserve"> t</w:t>
      </w:r>
      <w:r w:rsidR="00B3438C">
        <w:rPr>
          <w:lang w:val="en-GB"/>
        </w:rPr>
        <w:t xml:space="preserve">he Austrian government </w:t>
      </w:r>
      <w:r w:rsidR="006417EA">
        <w:rPr>
          <w:lang w:val="en-GB"/>
        </w:rPr>
        <w:t xml:space="preserve">specifically </w:t>
      </w:r>
      <w:r w:rsidR="00B3438C">
        <w:rPr>
          <w:lang w:val="en-GB"/>
        </w:rPr>
        <w:t>aims to expand</w:t>
      </w:r>
      <w:r w:rsidR="00E6525D">
        <w:rPr>
          <w:lang w:val="en-GB"/>
        </w:rPr>
        <w:t xml:space="preserve"> </w:t>
      </w:r>
      <w:r w:rsidR="00B3438C">
        <w:rPr>
          <w:lang w:val="en-GB"/>
        </w:rPr>
        <w:t>pho</w:t>
      </w:r>
      <w:r w:rsidR="00B3438C" w:rsidRPr="008F42F3">
        <w:rPr>
          <w:lang w:val="en-GB"/>
        </w:rPr>
        <w:t xml:space="preserve">tovoltaics (PV) and wind power </w:t>
      </w:r>
      <w:r w:rsidR="004C04F2">
        <w:rPr>
          <w:lang w:val="en-GB"/>
        </w:rPr>
        <w:t>installations</w:t>
      </w:r>
      <w:r w:rsidR="00FC2D0B">
        <w:rPr>
          <w:lang w:val="en-GB"/>
        </w:rPr>
        <w:t xml:space="preserve"> </w:t>
      </w:r>
      <w:r w:rsidR="00B3438C" w:rsidRPr="008F42F3">
        <w:rPr>
          <w:lang w:val="en-GB"/>
        </w:rPr>
        <w:t>[</w:t>
      </w:r>
      <w:r w:rsidR="00E214A0" w:rsidRPr="008F42F3">
        <w:rPr>
          <w:lang w:val="en-GB"/>
        </w:rPr>
        <w:t>3</w:t>
      </w:r>
      <w:r w:rsidR="00B3438C" w:rsidRPr="008F42F3">
        <w:rPr>
          <w:lang w:val="en-GB"/>
        </w:rPr>
        <w:t>][</w:t>
      </w:r>
      <w:r w:rsidR="008F42F3">
        <w:rPr>
          <w:lang w:val="en-GB"/>
        </w:rPr>
        <w:t>5</w:t>
      </w:r>
      <w:r w:rsidR="00B3438C" w:rsidRPr="008F42F3">
        <w:rPr>
          <w:lang w:val="en-GB"/>
        </w:rPr>
        <w:t>].</w:t>
      </w:r>
      <w:r w:rsidR="00F722BA" w:rsidRPr="008F42F3">
        <w:rPr>
          <w:lang w:val="en-GB"/>
        </w:rPr>
        <w:t xml:space="preserve"> </w:t>
      </w:r>
      <w:r w:rsidR="003F698D">
        <w:rPr>
          <w:lang w:val="en-GB" w:eastAsia="de-AT"/>
        </w:rPr>
        <w:t xml:space="preserve">However, in order to achieve this goal, large-scale PV and wind power </w:t>
      </w:r>
      <w:r w:rsidR="00E6525D" w:rsidRPr="008F42F3">
        <w:rPr>
          <w:lang w:val="en-GB" w:eastAsia="de-AT"/>
        </w:rPr>
        <w:t xml:space="preserve">will </w:t>
      </w:r>
      <w:r w:rsidR="00E7313F">
        <w:rPr>
          <w:lang w:val="en-GB" w:eastAsia="de-AT"/>
        </w:rPr>
        <w:t>have to approach</w:t>
      </w:r>
      <w:r w:rsidR="00E6525D" w:rsidRPr="008F42F3">
        <w:rPr>
          <w:lang w:val="en-GB" w:eastAsia="de-AT"/>
        </w:rPr>
        <w:t xml:space="preserve"> rural areas. </w:t>
      </w:r>
      <w:r w:rsidR="00E6525D" w:rsidRPr="008F42F3">
        <w:rPr>
          <w:lang w:val="en-GB"/>
        </w:rPr>
        <w:t>Such rural areas, characterized by landscape, nature and cultural heritage</w:t>
      </w:r>
      <w:r w:rsidR="00CB2205">
        <w:rPr>
          <w:lang w:val="en-GB"/>
        </w:rPr>
        <w:t xml:space="preserve"> </w:t>
      </w:r>
      <w:r w:rsidR="00E6525D" w:rsidRPr="008F42F3">
        <w:rPr>
          <w:lang w:val="en-GB"/>
        </w:rPr>
        <w:t>are highly associated with tourism</w:t>
      </w:r>
      <w:r w:rsidR="003F698D">
        <w:rPr>
          <w:lang w:val="en-GB"/>
        </w:rPr>
        <w:t xml:space="preserve"> and </w:t>
      </w:r>
      <w:r w:rsidR="00E6525D" w:rsidRPr="008F42F3">
        <w:rPr>
          <w:lang w:val="en-GB"/>
        </w:rPr>
        <w:t xml:space="preserve">valued for aesthetical reasons </w:t>
      </w:r>
      <w:r w:rsidR="00B4398E" w:rsidRPr="008F42F3">
        <w:rPr>
          <w:lang w:val="en-GB" w:eastAsia="de-AT"/>
        </w:rPr>
        <w:t>[1][4][6][</w:t>
      </w:r>
      <w:proofErr w:type="gramStart"/>
      <w:r w:rsidR="00B4398E" w:rsidRPr="008F42F3">
        <w:rPr>
          <w:lang w:val="en-GB" w:eastAsia="de-AT"/>
        </w:rPr>
        <w:t>7][</w:t>
      </w:r>
      <w:proofErr w:type="gramEnd"/>
      <w:r w:rsidR="00B4398E">
        <w:rPr>
          <w:lang w:val="en-GB" w:eastAsia="de-AT"/>
        </w:rPr>
        <w:t>10</w:t>
      </w:r>
      <w:r w:rsidR="00B4398E" w:rsidRPr="008F42F3">
        <w:rPr>
          <w:lang w:val="en-GB" w:eastAsia="de-AT"/>
        </w:rPr>
        <w:t>]</w:t>
      </w:r>
      <w:r w:rsidR="00E6525D" w:rsidRPr="008F42F3">
        <w:rPr>
          <w:lang w:val="en-GB"/>
        </w:rPr>
        <w:t>.</w:t>
      </w:r>
      <w:r w:rsidR="00365037">
        <w:rPr>
          <w:lang w:val="en-GB"/>
        </w:rPr>
        <w:t xml:space="preserve"> Overall, </w:t>
      </w:r>
      <w:r w:rsidR="009E41D3">
        <w:rPr>
          <w:lang w:val="en-GB"/>
        </w:rPr>
        <w:t xml:space="preserve">literature </w:t>
      </w:r>
      <w:r w:rsidR="00365037">
        <w:rPr>
          <w:lang w:val="en-GB"/>
        </w:rPr>
        <w:t>shows</w:t>
      </w:r>
      <w:r w:rsidR="009E41D3" w:rsidRPr="008F42F3">
        <w:rPr>
          <w:lang w:val="en-GB" w:eastAsia="de-AT"/>
        </w:rPr>
        <w:t xml:space="preserve"> that social acceptance could have a notable influence</w:t>
      </w:r>
      <w:r w:rsidR="006B1B70">
        <w:rPr>
          <w:lang w:val="en-GB" w:eastAsia="de-AT"/>
        </w:rPr>
        <w:t xml:space="preserve"> on RET </w:t>
      </w:r>
      <w:r w:rsidR="00FF177A">
        <w:rPr>
          <w:lang w:val="en-GB" w:eastAsia="de-AT"/>
        </w:rPr>
        <w:t>installations</w:t>
      </w:r>
      <w:r w:rsidR="009E41D3" w:rsidRPr="008F42F3">
        <w:rPr>
          <w:lang w:val="en-GB" w:eastAsia="de-AT"/>
        </w:rPr>
        <w:t>, particularly in the plannin</w:t>
      </w:r>
      <w:bookmarkStart w:id="0" w:name="_GoBack"/>
      <w:bookmarkEnd w:id="0"/>
      <w:r w:rsidR="009E41D3" w:rsidRPr="008F42F3">
        <w:rPr>
          <w:lang w:val="en-GB" w:eastAsia="de-AT"/>
        </w:rPr>
        <w:t xml:space="preserve">g phase </w:t>
      </w:r>
      <w:r w:rsidR="009E41D3" w:rsidRPr="008F42F3">
        <w:rPr>
          <w:lang w:val="en-GB"/>
        </w:rPr>
        <w:t>[2][</w:t>
      </w:r>
      <w:proofErr w:type="gramStart"/>
      <w:r w:rsidR="009E41D3">
        <w:rPr>
          <w:lang w:val="en-GB"/>
        </w:rPr>
        <w:t>9][</w:t>
      </w:r>
      <w:proofErr w:type="gramEnd"/>
      <w:r w:rsidR="009E41D3" w:rsidRPr="008F42F3">
        <w:rPr>
          <w:lang w:val="en-GB"/>
        </w:rPr>
        <w:t>1</w:t>
      </w:r>
      <w:r w:rsidR="009E41D3">
        <w:rPr>
          <w:lang w:val="en-GB"/>
        </w:rPr>
        <w:t>2</w:t>
      </w:r>
      <w:r w:rsidR="009E41D3" w:rsidRPr="008F42F3">
        <w:rPr>
          <w:lang w:val="en-GB"/>
        </w:rPr>
        <w:t>][1</w:t>
      </w:r>
      <w:r w:rsidR="009E41D3">
        <w:rPr>
          <w:lang w:val="en-GB"/>
        </w:rPr>
        <w:t>3</w:t>
      </w:r>
      <w:r w:rsidR="009E41D3" w:rsidRPr="008F42F3">
        <w:rPr>
          <w:lang w:val="en-GB"/>
        </w:rPr>
        <w:t>][</w:t>
      </w:r>
      <w:r w:rsidR="009E41D3">
        <w:rPr>
          <w:lang w:val="en-GB"/>
        </w:rPr>
        <w:t>14</w:t>
      </w:r>
      <w:r w:rsidR="009E41D3" w:rsidRPr="008F42F3">
        <w:rPr>
          <w:lang w:val="en-GB"/>
        </w:rPr>
        <w:t>]</w:t>
      </w:r>
      <w:r w:rsidR="009E41D3">
        <w:rPr>
          <w:lang w:val="en-GB"/>
        </w:rPr>
        <w:t>.</w:t>
      </w:r>
      <w:r w:rsidR="00BD115F">
        <w:rPr>
          <w:lang w:val="en-GB"/>
        </w:rPr>
        <w:t xml:space="preserve"> </w:t>
      </w:r>
      <w:r w:rsidR="009E41D3">
        <w:rPr>
          <w:lang w:val="en-GB"/>
        </w:rPr>
        <w:t xml:space="preserve">Thus, social acceptance </w:t>
      </w:r>
      <w:r w:rsidR="00BD115F">
        <w:rPr>
          <w:lang w:val="en-GB"/>
        </w:rPr>
        <w:t>is expected to</w:t>
      </w:r>
      <w:r w:rsidR="00B3438C" w:rsidRPr="008F42F3">
        <w:rPr>
          <w:lang w:val="en-GB"/>
        </w:rPr>
        <w:t xml:space="preserve"> play a significant role</w:t>
      </w:r>
      <w:r w:rsidR="009E41D3">
        <w:rPr>
          <w:lang w:val="en-GB"/>
        </w:rPr>
        <w:t xml:space="preserve"> in the expansion of RET in Austrian tourism regions</w:t>
      </w:r>
      <w:r w:rsidR="00365037">
        <w:rPr>
          <w:lang w:val="en-GB"/>
        </w:rPr>
        <w:t>.</w:t>
      </w:r>
    </w:p>
    <w:p w14:paraId="041A4D9D" w14:textId="77777777" w:rsidR="005E4D4F" w:rsidRPr="00B3438C" w:rsidRDefault="005E4D4F" w:rsidP="00227125">
      <w:pPr>
        <w:rPr>
          <w:lang w:val="en-GB"/>
        </w:rPr>
      </w:pPr>
    </w:p>
    <w:p w14:paraId="00203371" w14:textId="79A09453" w:rsidR="005E4D4F" w:rsidRPr="00B10866" w:rsidRDefault="008135F5" w:rsidP="005E4D4F">
      <w:pPr>
        <w:pStyle w:val="Ueberschrift"/>
        <w:rPr>
          <w:lang w:val="en-GB"/>
        </w:rPr>
      </w:pPr>
      <w:r w:rsidRPr="00B10866">
        <w:rPr>
          <w:lang w:val="en-GB"/>
        </w:rPr>
        <w:t>Methods</w:t>
      </w:r>
    </w:p>
    <w:p w14:paraId="30B1B236" w14:textId="11976E15" w:rsidR="00B10866" w:rsidRDefault="00907ABC" w:rsidP="00B10866">
      <w:pPr>
        <w:rPr>
          <w:lang w:val="en-GB"/>
        </w:rPr>
      </w:pPr>
      <w:bookmarkStart w:id="1" w:name="_Hlk48231156"/>
      <w:r>
        <w:rPr>
          <w:lang w:val="en-GB"/>
        </w:rPr>
        <w:t xml:space="preserve">We used an </w:t>
      </w:r>
      <w:r w:rsidR="00B10866">
        <w:rPr>
          <w:lang w:val="en-GB"/>
        </w:rPr>
        <w:t xml:space="preserve">online survey </w:t>
      </w:r>
      <w:r>
        <w:rPr>
          <w:lang w:val="en-GB"/>
        </w:rPr>
        <w:t>to collect</w:t>
      </w:r>
      <w:r w:rsidRPr="00BA5194">
        <w:rPr>
          <w:lang w:val="en-GB"/>
        </w:rPr>
        <w:t xml:space="preserve"> </w:t>
      </w:r>
      <w:r w:rsidR="00B10866" w:rsidRPr="00BA5194">
        <w:rPr>
          <w:lang w:val="en-GB"/>
        </w:rPr>
        <w:t xml:space="preserve">data between April </w:t>
      </w:r>
      <w:r w:rsidR="002948A1">
        <w:rPr>
          <w:lang w:val="en-GB"/>
        </w:rPr>
        <w:t>and</w:t>
      </w:r>
      <w:r w:rsidR="00B10866" w:rsidRPr="00BA5194">
        <w:rPr>
          <w:lang w:val="en-GB"/>
        </w:rPr>
        <w:t xml:space="preserve"> June 2020</w:t>
      </w:r>
      <w:r w:rsidR="00B10866">
        <w:rPr>
          <w:lang w:val="en-GB"/>
        </w:rPr>
        <w:t xml:space="preserve"> in three tourism regions in Austria. </w:t>
      </w:r>
      <w:r w:rsidR="00B10866" w:rsidRPr="00B10866">
        <w:rPr>
          <w:lang w:val="en-GB"/>
        </w:rPr>
        <w:t xml:space="preserve">The selected regions were </w:t>
      </w:r>
      <w:proofErr w:type="spellStart"/>
      <w:r w:rsidR="00B10866" w:rsidRPr="00B10866">
        <w:rPr>
          <w:lang w:val="en-GB"/>
        </w:rPr>
        <w:t>Kamptal</w:t>
      </w:r>
      <w:proofErr w:type="spellEnd"/>
      <w:r w:rsidR="002948A1">
        <w:rPr>
          <w:lang w:val="en-GB"/>
        </w:rPr>
        <w:t xml:space="preserve"> (</w:t>
      </w:r>
      <w:r w:rsidR="00B10866" w:rsidRPr="00B10866">
        <w:rPr>
          <w:lang w:val="en-GB"/>
        </w:rPr>
        <w:t>Lower Austria</w:t>
      </w:r>
      <w:r w:rsidR="002948A1">
        <w:rPr>
          <w:lang w:val="en-GB"/>
        </w:rPr>
        <w:t>)</w:t>
      </w:r>
      <w:r w:rsidR="00B10866" w:rsidRPr="00B10866">
        <w:rPr>
          <w:lang w:val="en-GB"/>
        </w:rPr>
        <w:t xml:space="preserve">, the </w:t>
      </w:r>
      <w:proofErr w:type="spellStart"/>
      <w:r w:rsidR="00B10866" w:rsidRPr="00B10866">
        <w:rPr>
          <w:lang w:val="en-GB"/>
        </w:rPr>
        <w:t>Nocky</w:t>
      </w:r>
      <w:proofErr w:type="spellEnd"/>
      <w:r w:rsidR="00B10866" w:rsidRPr="00B10866">
        <w:rPr>
          <w:lang w:val="en-GB"/>
        </w:rPr>
        <w:t xml:space="preserve"> </w:t>
      </w:r>
      <w:r w:rsidR="00A90EF6">
        <w:rPr>
          <w:lang w:val="en-GB"/>
        </w:rPr>
        <w:t>M</w:t>
      </w:r>
      <w:r w:rsidR="00B10866" w:rsidRPr="00B10866">
        <w:rPr>
          <w:lang w:val="en-GB"/>
        </w:rPr>
        <w:t xml:space="preserve">ountains </w:t>
      </w:r>
      <w:r w:rsidR="002948A1">
        <w:rPr>
          <w:lang w:val="en-GB"/>
        </w:rPr>
        <w:t>(</w:t>
      </w:r>
      <w:r w:rsidR="00B10866" w:rsidRPr="00B10866">
        <w:rPr>
          <w:lang w:val="en-GB"/>
        </w:rPr>
        <w:t>Carinthia</w:t>
      </w:r>
      <w:r w:rsidR="002948A1">
        <w:rPr>
          <w:lang w:val="en-GB"/>
        </w:rPr>
        <w:t>)</w:t>
      </w:r>
      <w:r w:rsidR="00B10866" w:rsidRPr="00B10866">
        <w:rPr>
          <w:lang w:val="en-GB"/>
        </w:rPr>
        <w:t xml:space="preserve"> and </w:t>
      </w:r>
      <w:proofErr w:type="spellStart"/>
      <w:r w:rsidR="00B10866" w:rsidRPr="00B10866">
        <w:rPr>
          <w:lang w:val="en-GB"/>
        </w:rPr>
        <w:t>Joglland</w:t>
      </w:r>
      <w:proofErr w:type="spellEnd"/>
      <w:r w:rsidR="00B10866" w:rsidRPr="00B10866">
        <w:rPr>
          <w:lang w:val="en-GB"/>
        </w:rPr>
        <w:t xml:space="preserve"> </w:t>
      </w:r>
      <w:r w:rsidR="002948A1">
        <w:rPr>
          <w:lang w:val="en-GB"/>
        </w:rPr>
        <w:t>(</w:t>
      </w:r>
      <w:r w:rsidR="00B10866" w:rsidRPr="00B10866">
        <w:rPr>
          <w:lang w:val="en-GB"/>
        </w:rPr>
        <w:t>Styria</w:t>
      </w:r>
      <w:r w:rsidR="002948A1">
        <w:rPr>
          <w:lang w:val="en-GB"/>
        </w:rPr>
        <w:t>)</w:t>
      </w:r>
      <w:r w:rsidR="00B10866" w:rsidRPr="00B10866">
        <w:rPr>
          <w:lang w:val="en-GB"/>
        </w:rPr>
        <w:t>.</w:t>
      </w:r>
      <w:r w:rsidR="00B10866">
        <w:rPr>
          <w:lang w:val="en-GB"/>
        </w:rPr>
        <w:t xml:space="preserve"> </w:t>
      </w:r>
      <w:bookmarkEnd w:id="1"/>
      <w:r w:rsidR="00B10866" w:rsidRPr="00B10866">
        <w:rPr>
          <w:lang w:val="en-GB"/>
        </w:rPr>
        <w:t xml:space="preserve">As the main interest was in the acceptance of RET in </w:t>
      </w:r>
      <w:r w:rsidR="00493E06">
        <w:rPr>
          <w:lang w:val="en-GB"/>
        </w:rPr>
        <w:t xml:space="preserve">the </w:t>
      </w:r>
      <w:r w:rsidR="00B10866" w:rsidRPr="00B10866">
        <w:rPr>
          <w:lang w:val="en-GB"/>
        </w:rPr>
        <w:t>selected tourism regions, all respondents not knowing the particular regions were excluded</w:t>
      </w:r>
      <w:r w:rsidR="00B10866">
        <w:rPr>
          <w:lang w:val="en-GB"/>
        </w:rPr>
        <w:t xml:space="preserve">. </w:t>
      </w:r>
      <w:r w:rsidR="00B10866" w:rsidRPr="00B10866">
        <w:rPr>
          <w:lang w:val="en-GB"/>
        </w:rPr>
        <w:t>The final sample consisted of 962 respondents</w:t>
      </w:r>
      <w:r w:rsidR="002948A1">
        <w:rPr>
          <w:lang w:val="en-GB"/>
        </w:rPr>
        <w:t xml:space="preserve"> (Lower Austria = 316, Carinthia = 393, Styria = </w:t>
      </w:r>
      <w:r w:rsidR="00B10866" w:rsidRPr="00B10866">
        <w:rPr>
          <w:lang w:val="en-GB"/>
        </w:rPr>
        <w:t>253</w:t>
      </w:r>
      <w:r w:rsidR="002948A1">
        <w:rPr>
          <w:lang w:val="en-GB"/>
        </w:rPr>
        <w:t>).</w:t>
      </w:r>
      <w:r w:rsidR="00B10866" w:rsidRPr="00B10866">
        <w:rPr>
          <w:lang w:val="en-GB"/>
        </w:rPr>
        <w:t xml:space="preserve"> </w:t>
      </w:r>
    </w:p>
    <w:p w14:paraId="3FF1C621" w14:textId="394AC96A" w:rsidR="00B10866" w:rsidRDefault="00B10866" w:rsidP="00B10866">
      <w:pPr>
        <w:rPr>
          <w:lang w:val="en-GB"/>
        </w:rPr>
      </w:pPr>
    </w:p>
    <w:p w14:paraId="5F140195" w14:textId="6B21D6DA" w:rsidR="00B10866" w:rsidRPr="00BA5194" w:rsidRDefault="00B10866" w:rsidP="00B10866">
      <w:pPr>
        <w:rPr>
          <w:lang w:val="en-GB" w:eastAsia="de-AT"/>
        </w:rPr>
      </w:pPr>
      <w:r>
        <w:rPr>
          <w:iCs/>
          <w:lang w:val="en-GB"/>
        </w:rPr>
        <w:t>The</w:t>
      </w:r>
      <w:r>
        <w:rPr>
          <w:i/>
          <w:iCs/>
          <w:lang w:val="en-GB"/>
        </w:rPr>
        <w:t xml:space="preserve"> </w:t>
      </w:r>
      <w:r>
        <w:rPr>
          <w:iCs/>
          <w:lang w:val="en-GB"/>
        </w:rPr>
        <w:t>variable</w:t>
      </w:r>
      <w:r>
        <w:rPr>
          <w:i/>
          <w:iCs/>
          <w:lang w:val="en-GB"/>
        </w:rPr>
        <w:t xml:space="preserve"> acceptance of RET projects in tourism regions</w:t>
      </w:r>
      <w:r>
        <w:rPr>
          <w:lang w:val="en-GB"/>
        </w:rPr>
        <w:t xml:space="preserve"> was measured </w:t>
      </w:r>
      <w:r w:rsidR="00DB19AB">
        <w:rPr>
          <w:lang w:val="en-GB"/>
        </w:rPr>
        <w:t>on a scale ranging</w:t>
      </w:r>
      <w:r>
        <w:rPr>
          <w:lang w:val="en-GB"/>
        </w:rPr>
        <w:t xml:space="preserve"> from 4 = </w:t>
      </w:r>
      <w:r w:rsidRPr="002948A1">
        <w:rPr>
          <w:i/>
          <w:lang w:val="en-GB"/>
        </w:rPr>
        <w:t>agree</w:t>
      </w:r>
      <w:r>
        <w:rPr>
          <w:lang w:val="en-GB"/>
        </w:rPr>
        <w:t xml:space="preserve"> to 1 = </w:t>
      </w:r>
      <w:r w:rsidRPr="002948A1">
        <w:rPr>
          <w:i/>
          <w:lang w:val="en-GB"/>
        </w:rPr>
        <w:t xml:space="preserve">disagree </w:t>
      </w:r>
      <w:r>
        <w:rPr>
          <w:lang w:val="en-GB"/>
        </w:rPr>
        <w:t xml:space="preserve">for PV </w:t>
      </w:r>
      <w:r>
        <w:rPr>
          <w:lang w:val="en-GB" w:eastAsia="de-AT"/>
        </w:rPr>
        <w:t>(M = 2.98; SD = 0.81) and for</w:t>
      </w:r>
      <w:r w:rsidRPr="00B10866">
        <w:rPr>
          <w:lang w:val="en-GB" w:eastAsia="de-AT"/>
        </w:rPr>
        <w:t xml:space="preserve"> </w:t>
      </w:r>
      <w:r>
        <w:rPr>
          <w:lang w:val="en-GB" w:eastAsia="de-AT"/>
        </w:rPr>
        <w:t>wind power (M = 2.75; SD = 0.86).</w:t>
      </w:r>
      <w:r w:rsidR="002948A1">
        <w:rPr>
          <w:lang w:val="en-GB" w:eastAsia="de-AT"/>
        </w:rPr>
        <w:t xml:space="preserve"> Other </w:t>
      </w:r>
      <w:r w:rsidR="009977A1">
        <w:rPr>
          <w:lang w:val="en-GB" w:eastAsia="de-AT"/>
        </w:rPr>
        <w:t>(</w:t>
      </w:r>
      <w:r w:rsidR="00D7290E" w:rsidRPr="009977A1">
        <w:rPr>
          <w:lang w:val="en-GB" w:eastAsia="de-AT"/>
        </w:rPr>
        <w:t>socio-psychological</w:t>
      </w:r>
      <w:r w:rsidR="009977A1" w:rsidRPr="009977A1">
        <w:rPr>
          <w:lang w:val="en-GB" w:eastAsia="de-AT"/>
        </w:rPr>
        <w:t>)</w:t>
      </w:r>
      <w:r w:rsidR="00D7290E" w:rsidRPr="009977A1">
        <w:rPr>
          <w:lang w:val="en-GB" w:eastAsia="de-AT"/>
        </w:rPr>
        <w:t xml:space="preserve"> </w:t>
      </w:r>
      <w:r w:rsidR="002948A1" w:rsidRPr="009977A1">
        <w:rPr>
          <w:lang w:val="en-GB" w:eastAsia="de-AT"/>
        </w:rPr>
        <w:t>variables</w:t>
      </w:r>
      <w:r w:rsidR="002948A1">
        <w:rPr>
          <w:lang w:val="en-GB" w:eastAsia="de-AT"/>
        </w:rPr>
        <w:t xml:space="preserve">, mostly using a </w:t>
      </w:r>
      <w:r w:rsidR="002948A1" w:rsidRPr="00BA5194">
        <w:rPr>
          <w:lang w:val="en-GB" w:eastAsia="de-AT"/>
        </w:rPr>
        <w:t xml:space="preserve">Likert-type scale ranging from </w:t>
      </w:r>
      <w:r w:rsidR="002948A1" w:rsidRPr="00BA5194">
        <w:rPr>
          <w:i/>
          <w:lang w:val="en-GB" w:eastAsia="de-AT"/>
        </w:rPr>
        <w:t>I highly agree</w:t>
      </w:r>
      <w:r w:rsidR="002948A1" w:rsidRPr="00BA5194">
        <w:rPr>
          <w:lang w:val="en-GB" w:eastAsia="de-AT"/>
        </w:rPr>
        <w:t xml:space="preserve"> </w:t>
      </w:r>
      <w:r w:rsidR="0048512A" w:rsidRPr="0048512A">
        <w:rPr>
          <w:lang w:val="en-GB" w:eastAsia="de-AT"/>
        </w:rPr>
        <w:t>(5)</w:t>
      </w:r>
      <w:r w:rsidR="0048512A">
        <w:rPr>
          <w:lang w:val="en-GB" w:eastAsia="de-AT"/>
        </w:rPr>
        <w:t xml:space="preserve"> </w:t>
      </w:r>
      <w:r w:rsidR="002948A1" w:rsidRPr="00BA5194">
        <w:rPr>
          <w:lang w:val="en-GB" w:eastAsia="de-AT"/>
        </w:rPr>
        <w:t xml:space="preserve">to </w:t>
      </w:r>
      <w:r w:rsidR="002948A1" w:rsidRPr="00BA5194">
        <w:rPr>
          <w:i/>
          <w:lang w:val="en-GB" w:eastAsia="de-AT"/>
        </w:rPr>
        <w:t>I disagree</w:t>
      </w:r>
      <w:r w:rsidR="0048512A">
        <w:rPr>
          <w:i/>
          <w:lang w:val="en-GB" w:eastAsia="de-AT"/>
        </w:rPr>
        <w:t xml:space="preserve"> </w:t>
      </w:r>
      <w:r w:rsidR="0048512A" w:rsidRPr="00B4398E">
        <w:rPr>
          <w:iCs/>
          <w:lang w:val="en-GB" w:eastAsia="de-AT"/>
        </w:rPr>
        <w:t>(1)</w:t>
      </w:r>
      <w:r w:rsidR="002948A1" w:rsidRPr="00B4398E">
        <w:rPr>
          <w:iCs/>
          <w:lang w:val="en-GB" w:eastAsia="de-AT"/>
        </w:rPr>
        <w:t>,</w:t>
      </w:r>
      <w:r w:rsidR="002948A1">
        <w:rPr>
          <w:lang w:val="en-GB" w:eastAsia="de-AT"/>
        </w:rPr>
        <w:t xml:space="preserve"> included</w:t>
      </w:r>
      <w:r w:rsidR="0038132E">
        <w:rPr>
          <w:lang w:val="en-GB" w:eastAsia="de-AT"/>
        </w:rPr>
        <w:t xml:space="preserve"> </w:t>
      </w:r>
      <w:r w:rsidR="002948A1">
        <w:rPr>
          <w:i/>
          <w:lang w:val="en-GB" w:eastAsia="de-AT"/>
        </w:rPr>
        <w:t>p</w:t>
      </w:r>
      <w:r w:rsidR="002948A1" w:rsidRPr="000D17F4">
        <w:rPr>
          <w:i/>
          <w:lang w:val="en-GB" w:eastAsia="de-AT"/>
        </w:rPr>
        <w:t>la</w:t>
      </w:r>
      <w:r w:rsidR="002948A1" w:rsidRPr="00BA5194">
        <w:rPr>
          <w:i/>
          <w:lang w:val="en-GB" w:eastAsia="de-AT"/>
        </w:rPr>
        <w:t>ce attachment</w:t>
      </w:r>
      <w:r w:rsidR="002948A1" w:rsidRPr="00BA5194">
        <w:rPr>
          <w:lang w:val="en-GB" w:eastAsia="de-AT"/>
        </w:rPr>
        <w:t xml:space="preserve"> </w:t>
      </w:r>
      <w:r w:rsidR="002948A1" w:rsidRPr="00BA5194">
        <w:rPr>
          <w:lang w:val="en-GB"/>
        </w:rPr>
        <w:t>(</w:t>
      </w:r>
      <w:r w:rsidR="002948A1" w:rsidRPr="00BA5194">
        <w:rPr>
          <w:i/>
          <w:lang w:val="en-GB"/>
        </w:rPr>
        <w:t>α</w:t>
      </w:r>
      <w:r w:rsidR="002948A1" w:rsidRPr="00BA5194">
        <w:rPr>
          <w:lang w:val="en-GB"/>
        </w:rPr>
        <w:t xml:space="preserve"> = .</w:t>
      </w:r>
      <w:r w:rsidR="002948A1">
        <w:rPr>
          <w:lang w:val="en-GB"/>
        </w:rPr>
        <w:t>85</w:t>
      </w:r>
      <w:r w:rsidR="002948A1" w:rsidRPr="00BA5194">
        <w:rPr>
          <w:lang w:val="en-GB"/>
        </w:rPr>
        <w:t>)</w:t>
      </w:r>
      <w:r w:rsidR="002948A1">
        <w:rPr>
          <w:lang w:val="en-GB"/>
        </w:rPr>
        <w:t>,</w:t>
      </w:r>
      <w:r w:rsidR="002948A1" w:rsidRPr="002948A1">
        <w:rPr>
          <w:i/>
          <w:lang w:val="en-GB" w:eastAsia="de-AT"/>
        </w:rPr>
        <w:t xml:space="preserve"> </w:t>
      </w:r>
      <w:r w:rsidR="002948A1" w:rsidRPr="00BA5194">
        <w:rPr>
          <w:i/>
          <w:lang w:val="en-GB" w:eastAsia="de-AT"/>
        </w:rPr>
        <w:t xml:space="preserve">RET optimism </w:t>
      </w:r>
      <w:r w:rsidR="002948A1" w:rsidRPr="00BA5194">
        <w:rPr>
          <w:lang w:val="en-GB"/>
        </w:rPr>
        <w:t>(</w:t>
      </w:r>
      <w:r w:rsidR="002948A1" w:rsidRPr="00BA5194">
        <w:rPr>
          <w:i/>
          <w:lang w:val="en-GB"/>
        </w:rPr>
        <w:t xml:space="preserve">α </w:t>
      </w:r>
      <w:r w:rsidR="002948A1" w:rsidRPr="00BA5194">
        <w:rPr>
          <w:lang w:val="en-GB"/>
        </w:rPr>
        <w:t>= .</w:t>
      </w:r>
      <w:r w:rsidR="002948A1">
        <w:rPr>
          <w:lang w:val="en-GB"/>
        </w:rPr>
        <w:t>68</w:t>
      </w:r>
      <w:r w:rsidR="002948A1" w:rsidRPr="00BA5194">
        <w:rPr>
          <w:lang w:val="en-GB"/>
        </w:rPr>
        <w:t>),</w:t>
      </w:r>
      <w:r w:rsidR="002948A1" w:rsidRPr="002948A1">
        <w:rPr>
          <w:i/>
          <w:lang w:val="en-GB" w:eastAsia="de-AT"/>
        </w:rPr>
        <w:t xml:space="preserve"> </w:t>
      </w:r>
      <w:r w:rsidR="00EA71E8">
        <w:rPr>
          <w:i/>
          <w:lang w:val="en-GB" w:eastAsia="de-AT"/>
        </w:rPr>
        <w:t xml:space="preserve">negative RET </w:t>
      </w:r>
      <w:r w:rsidR="002948A1">
        <w:rPr>
          <w:i/>
          <w:lang w:val="en-GB" w:eastAsia="de-AT"/>
        </w:rPr>
        <w:t>i</w:t>
      </w:r>
      <w:r w:rsidR="002948A1" w:rsidRPr="00BA5194">
        <w:rPr>
          <w:i/>
          <w:lang w:val="en-GB" w:eastAsia="de-AT"/>
        </w:rPr>
        <w:t>mpact</w:t>
      </w:r>
      <w:r w:rsidR="00EA71E8">
        <w:rPr>
          <w:i/>
          <w:lang w:val="en-GB" w:eastAsia="de-AT"/>
        </w:rPr>
        <w:t xml:space="preserve"> </w:t>
      </w:r>
      <w:r w:rsidR="002948A1" w:rsidRPr="00BA5194">
        <w:rPr>
          <w:lang w:val="en-GB"/>
        </w:rPr>
        <w:t>(</w:t>
      </w:r>
      <w:r w:rsidR="002948A1" w:rsidRPr="00BA5194">
        <w:rPr>
          <w:i/>
          <w:lang w:val="en-GB"/>
        </w:rPr>
        <w:t>α</w:t>
      </w:r>
      <w:r w:rsidR="002948A1" w:rsidRPr="00BA5194">
        <w:rPr>
          <w:lang w:val="en-GB"/>
        </w:rPr>
        <w:t xml:space="preserve"> = .</w:t>
      </w:r>
      <w:r w:rsidR="002948A1">
        <w:rPr>
          <w:lang w:val="en-GB"/>
        </w:rPr>
        <w:t>83</w:t>
      </w:r>
      <w:r w:rsidR="002948A1" w:rsidRPr="00BA5194">
        <w:rPr>
          <w:lang w:val="en-GB"/>
        </w:rPr>
        <w:t>)</w:t>
      </w:r>
      <w:r w:rsidR="002948A1">
        <w:rPr>
          <w:lang w:val="en-GB"/>
        </w:rPr>
        <w:t xml:space="preserve">, </w:t>
      </w:r>
      <w:r w:rsidR="00EA71E8">
        <w:rPr>
          <w:i/>
          <w:lang w:val="en-GB" w:eastAsia="de-AT"/>
        </w:rPr>
        <w:t>positive RET i</w:t>
      </w:r>
      <w:r w:rsidR="00EA71E8" w:rsidRPr="00BA5194">
        <w:rPr>
          <w:i/>
          <w:lang w:val="en-GB" w:eastAsia="de-AT"/>
        </w:rPr>
        <w:t xml:space="preserve">mpact </w:t>
      </w:r>
      <w:r w:rsidR="002948A1" w:rsidRPr="00BA5194">
        <w:rPr>
          <w:lang w:val="en-GB"/>
        </w:rPr>
        <w:t>(</w:t>
      </w:r>
      <w:r w:rsidR="002948A1" w:rsidRPr="00BA5194">
        <w:rPr>
          <w:i/>
          <w:lang w:val="en-GB"/>
        </w:rPr>
        <w:t>α</w:t>
      </w:r>
      <w:r w:rsidR="002948A1" w:rsidRPr="00BA5194">
        <w:rPr>
          <w:lang w:val="en-GB"/>
        </w:rPr>
        <w:t xml:space="preserve"> = .</w:t>
      </w:r>
      <w:r w:rsidR="002948A1">
        <w:rPr>
          <w:lang w:val="en-GB"/>
        </w:rPr>
        <w:t>81</w:t>
      </w:r>
      <w:r w:rsidR="002948A1" w:rsidRPr="00BA5194">
        <w:rPr>
          <w:lang w:val="en-GB"/>
        </w:rPr>
        <w:t>)</w:t>
      </w:r>
      <w:r w:rsidR="002948A1">
        <w:rPr>
          <w:i/>
          <w:lang w:val="en-GB" w:eastAsia="de-AT"/>
        </w:rPr>
        <w:t>, distributional justice</w:t>
      </w:r>
      <w:r w:rsidR="002948A1">
        <w:rPr>
          <w:lang w:val="en-GB" w:eastAsia="de-AT"/>
        </w:rPr>
        <w:t xml:space="preserve"> </w:t>
      </w:r>
      <w:r w:rsidR="002948A1" w:rsidRPr="00BA5194">
        <w:rPr>
          <w:lang w:val="en-GB"/>
        </w:rPr>
        <w:t>(</w:t>
      </w:r>
      <w:r w:rsidR="002948A1" w:rsidRPr="00BA5194">
        <w:rPr>
          <w:i/>
          <w:lang w:val="en-GB"/>
        </w:rPr>
        <w:t>α</w:t>
      </w:r>
      <w:r w:rsidR="002948A1" w:rsidRPr="00BA5194">
        <w:rPr>
          <w:lang w:val="en-GB"/>
        </w:rPr>
        <w:t xml:space="preserve"> = .</w:t>
      </w:r>
      <w:r w:rsidR="002948A1">
        <w:rPr>
          <w:lang w:val="en-GB"/>
        </w:rPr>
        <w:t>65</w:t>
      </w:r>
      <w:r w:rsidR="002948A1" w:rsidRPr="00BA5194">
        <w:rPr>
          <w:lang w:val="en-GB"/>
        </w:rPr>
        <w:t>)</w:t>
      </w:r>
      <w:r w:rsidR="002948A1">
        <w:rPr>
          <w:lang w:val="en-GB"/>
        </w:rPr>
        <w:t xml:space="preserve"> and</w:t>
      </w:r>
      <w:r w:rsidR="002948A1" w:rsidRPr="002948A1">
        <w:rPr>
          <w:i/>
          <w:lang w:val="en-GB"/>
        </w:rPr>
        <w:t xml:space="preserve"> </w:t>
      </w:r>
      <w:r w:rsidR="002948A1">
        <w:rPr>
          <w:i/>
          <w:lang w:val="en-GB"/>
        </w:rPr>
        <w:t>recognition j</w:t>
      </w:r>
      <w:r w:rsidR="002948A1" w:rsidRPr="005F192E">
        <w:rPr>
          <w:i/>
          <w:lang w:val="en-GB"/>
        </w:rPr>
        <w:t>ustice</w:t>
      </w:r>
      <w:r w:rsidR="002948A1">
        <w:rPr>
          <w:i/>
          <w:lang w:val="en-GB"/>
        </w:rPr>
        <w:t xml:space="preserve"> </w:t>
      </w:r>
      <w:r w:rsidR="002948A1" w:rsidRPr="00BA5194">
        <w:rPr>
          <w:lang w:val="en-GB"/>
        </w:rPr>
        <w:t>(</w:t>
      </w:r>
      <w:r w:rsidR="002948A1" w:rsidRPr="00BA5194">
        <w:rPr>
          <w:i/>
          <w:lang w:val="en-GB"/>
        </w:rPr>
        <w:t>α</w:t>
      </w:r>
      <w:r w:rsidR="002948A1" w:rsidRPr="00BA5194">
        <w:rPr>
          <w:lang w:val="en-GB"/>
        </w:rPr>
        <w:t xml:space="preserve"> = .</w:t>
      </w:r>
      <w:r w:rsidR="002948A1">
        <w:rPr>
          <w:lang w:val="en-GB"/>
        </w:rPr>
        <w:t>68</w:t>
      </w:r>
      <w:r w:rsidR="002948A1" w:rsidRPr="00BA5194">
        <w:rPr>
          <w:lang w:val="en-GB"/>
        </w:rPr>
        <w:t>)</w:t>
      </w:r>
      <w:r w:rsidR="002948A1">
        <w:rPr>
          <w:lang w:val="en-GB"/>
        </w:rPr>
        <w:t>.</w:t>
      </w:r>
      <w:r w:rsidR="002948A1">
        <w:rPr>
          <w:lang w:val="en-GB" w:eastAsia="de-AT"/>
        </w:rPr>
        <w:t xml:space="preserve"> </w:t>
      </w:r>
      <w:r w:rsidRPr="00BA5194">
        <w:rPr>
          <w:lang w:val="en-GB"/>
        </w:rPr>
        <w:t xml:space="preserve">Multiple regression was used to examine </w:t>
      </w:r>
      <w:r w:rsidR="00D7290E">
        <w:rPr>
          <w:lang w:val="en-GB"/>
        </w:rPr>
        <w:t>the predictors of</w:t>
      </w:r>
      <w:r w:rsidRPr="00BA5194">
        <w:rPr>
          <w:lang w:val="en-GB"/>
        </w:rPr>
        <w:t xml:space="preserve"> </w:t>
      </w:r>
      <w:r w:rsidRPr="00BA5194">
        <w:rPr>
          <w:i/>
          <w:lang w:val="en-GB"/>
        </w:rPr>
        <w:t xml:space="preserve">acceptance of </w:t>
      </w:r>
      <w:r>
        <w:rPr>
          <w:i/>
          <w:lang w:val="en-GB"/>
        </w:rPr>
        <w:t>RET projects</w:t>
      </w:r>
      <w:r w:rsidRPr="00BA5194">
        <w:rPr>
          <w:i/>
          <w:lang w:val="en-GB"/>
        </w:rPr>
        <w:t xml:space="preserve"> in tourism regions</w:t>
      </w:r>
      <w:r w:rsidRPr="00BA5194">
        <w:rPr>
          <w:lang w:val="en-GB"/>
        </w:rPr>
        <w:t>.</w:t>
      </w:r>
    </w:p>
    <w:p w14:paraId="449B4BD7" w14:textId="77777777" w:rsidR="005E4D4F" w:rsidRPr="00B10866" w:rsidRDefault="005E4D4F" w:rsidP="00227125">
      <w:pPr>
        <w:rPr>
          <w:lang w:val="en-GB"/>
        </w:rPr>
      </w:pPr>
    </w:p>
    <w:p w14:paraId="14B95358" w14:textId="50DAF648" w:rsidR="005E4D4F" w:rsidRPr="007D1E7B" w:rsidRDefault="008135F5" w:rsidP="005E4D4F">
      <w:pPr>
        <w:pStyle w:val="Ueberschrift"/>
        <w:rPr>
          <w:lang w:val="en-GB"/>
        </w:rPr>
      </w:pPr>
      <w:r w:rsidRPr="007D1E7B">
        <w:rPr>
          <w:lang w:val="en-GB"/>
        </w:rPr>
        <w:t>Results and Conclusion</w:t>
      </w:r>
    </w:p>
    <w:p w14:paraId="16F44A5E" w14:textId="659BC747" w:rsidR="007D1E7B" w:rsidRPr="007D1E7B" w:rsidRDefault="007D1E7B" w:rsidP="007D1E7B">
      <w:pPr>
        <w:pStyle w:val="Textkrper-Erstzeileneinzug"/>
        <w:spacing w:line="240" w:lineRule="auto"/>
        <w:ind w:firstLine="0"/>
        <w:rPr>
          <w:rFonts w:ascii="Arial" w:hAnsi="Arial"/>
          <w:sz w:val="20"/>
          <w:shd w:val="clear" w:color="auto" w:fill="auto"/>
          <w:lang w:val="en-GB" w:eastAsia="ko-KR"/>
        </w:rPr>
      </w:pP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Th</w:t>
      </w:r>
      <w:r>
        <w:rPr>
          <w:rFonts w:ascii="Arial" w:hAnsi="Arial"/>
          <w:sz w:val="20"/>
          <w:shd w:val="clear" w:color="auto" w:fill="auto"/>
          <w:lang w:val="en-GB" w:eastAsia="ko-KR"/>
        </w:rPr>
        <w:t>e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  <w:r w:rsidR="00AE45BD">
        <w:rPr>
          <w:rFonts w:ascii="Arial" w:hAnsi="Arial"/>
          <w:sz w:val="20"/>
          <w:shd w:val="clear" w:color="auto" w:fill="auto"/>
          <w:lang w:val="en-GB" w:eastAsia="ko-KR"/>
        </w:rPr>
        <w:t>results</w:t>
      </w:r>
      <w:r w:rsidR="00676F16"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  <w:r w:rsidR="00AE45BD">
        <w:rPr>
          <w:rFonts w:ascii="Arial" w:hAnsi="Arial"/>
          <w:sz w:val="20"/>
          <w:shd w:val="clear" w:color="auto" w:fill="auto"/>
          <w:lang w:val="en-GB" w:eastAsia="ko-KR"/>
        </w:rPr>
        <w:t>reveal</w:t>
      </w:r>
      <w:r>
        <w:rPr>
          <w:rFonts w:ascii="Arial" w:hAnsi="Arial"/>
          <w:sz w:val="20"/>
          <w:shd w:val="clear" w:color="auto" w:fill="auto"/>
          <w:lang w:val="en-GB" w:eastAsia="ko-KR"/>
        </w:rPr>
        <w:t xml:space="preserve"> an acceptance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 of 66</w:t>
      </w:r>
      <w:r w:rsidR="00AE45BD">
        <w:rPr>
          <w:rFonts w:ascii="Arial" w:hAnsi="Arial"/>
          <w:sz w:val="20"/>
          <w:shd w:val="clear" w:color="auto" w:fill="auto"/>
          <w:lang w:val="en-GB" w:eastAsia="ko-KR"/>
        </w:rPr>
        <w:t>.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84%</w:t>
      </w:r>
      <w:r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  <w:r w:rsidR="002C757E">
        <w:rPr>
          <w:rFonts w:ascii="Arial" w:hAnsi="Arial"/>
          <w:sz w:val="20"/>
          <w:shd w:val="clear" w:color="auto" w:fill="auto"/>
          <w:lang w:val="en-GB" w:eastAsia="ko-KR"/>
        </w:rPr>
        <w:t>(of respondents</w:t>
      </w:r>
      <w:r w:rsidR="00BB2721">
        <w:rPr>
          <w:rFonts w:ascii="Arial" w:hAnsi="Arial"/>
          <w:sz w:val="20"/>
          <w:shd w:val="clear" w:color="auto" w:fill="auto"/>
          <w:lang w:val="en-GB" w:eastAsia="ko-KR"/>
        </w:rPr>
        <w:t xml:space="preserve"> indicat</w:t>
      </w:r>
      <w:r w:rsidR="00974F22">
        <w:rPr>
          <w:rFonts w:ascii="Arial" w:hAnsi="Arial"/>
          <w:sz w:val="20"/>
          <w:shd w:val="clear" w:color="auto" w:fill="auto"/>
          <w:lang w:val="en-GB" w:eastAsia="ko-KR"/>
        </w:rPr>
        <w:t>ing</w:t>
      </w:r>
      <w:r w:rsidR="00BB2721">
        <w:rPr>
          <w:rFonts w:ascii="Arial" w:hAnsi="Arial"/>
          <w:sz w:val="20"/>
          <w:shd w:val="clear" w:color="auto" w:fill="auto"/>
          <w:lang w:val="en-GB" w:eastAsia="ko-KR"/>
        </w:rPr>
        <w:t xml:space="preserve"> (high) acceptance</w:t>
      </w:r>
      <w:r w:rsidR="002C757E">
        <w:rPr>
          <w:rFonts w:ascii="Arial" w:hAnsi="Arial"/>
          <w:sz w:val="20"/>
          <w:shd w:val="clear" w:color="auto" w:fill="auto"/>
          <w:lang w:val="en-GB" w:eastAsia="ko-KR"/>
        </w:rPr>
        <w:t xml:space="preserve">) </w:t>
      </w:r>
      <w:r>
        <w:rPr>
          <w:rFonts w:ascii="Arial" w:hAnsi="Arial"/>
          <w:sz w:val="20"/>
          <w:shd w:val="clear" w:color="auto" w:fill="auto"/>
          <w:lang w:val="en-GB" w:eastAsia="ko-KR"/>
        </w:rPr>
        <w:t>for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 wind power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 xml:space="preserve"> and 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77</w:t>
      </w:r>
      <w:r w:rsidR="00AE45BD">
        <w:rPr>
          <w:rFonts w:ascii="Arial" w:hAnsi="Arial"/>
          <w:sz w:val="20"/>
          <w:shd w:val="clear" w:color="auto" w:fill="auto"/>
          <w:lang w:val="en-GB" w:eastAsia="ko-KR"/>
        </w:rPr>
        <w:t>.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55%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 xml:space="preserve"> for </w:t>
      </w:r>
      <w:r w:rsidR="00C0626B">
        <w:rPr>
          <w:rFonts w:ascii="Arial" w:hAnsi="Arial"/>
          <w:sz w:val="20"/>
          <w:shd w:val="clear" w:color="auto" w:fill="auto"/>
          <w:lang w:val="en-GB" w:eastAsia="ko-KR"/>
        </w:rPr>
        <w:t xml:space="preserve">large-scale 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>PV</w:t>
      </w:r>
      <w:r>
        <w:rPr>
          <w:rFonts w:ascii="Arial" w:hAnsi="Arial"/>
          <w:sz w:val="20"/>
          <w:shd w:val="clear" w:color="auto" w:fill="auto"/>
          <w:lang w:val="en-GB" w:eastAsia="ko-KR"/>
        </w:rPr>
        <w:t xml:space="preserve">. 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The acceptance of both RET was lowest in Carinthia. For wind power,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Styria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  <w:r w:rsidR="00BB2721">
        <w:rPr>
          <w:rFonts w:ascii="Arial" w:hAnsi="Arial"/>
          <w:sz w:val="20"/>
          <w:shd w:val="clear" w:color="auto" w:fill="auto"/>
          <w:lang w:val="en-GB" w:eastAsia="ko-KR"/>
        </w:rPr>
        <w:t>had a higher acceptance rate than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 xml:space="preserve"> Lower Austria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>, while it was equally high for PV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>.</w:t>
      </w:r>
      <w:r w:rsidR="00974F22"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</w:p>
    <w:p w14:paraId="7F709BAF" w14:textId="77777777" w:rsidR="007D1E7B" w:rsidRDefault="007D1E7B" w:rsidP="007D1E7B">
      <w:pPr>
        <w:pStyle w:val="Textkrper-Erstzeileneinzug"/>
        <w:spacing w:line="240" w:lineRule="auto"/>
        <w:ind w:firstLine="0"/>
        <w:rPr>
          <w:rFonts w:ascii="Arial" w:hAnsi="Arial"/>
          <w:sz w:val="20"/>
          <w:shd w:val="clear" w:color="auto" w:fill="auto"/>
          <w:lang w:val="en-GB" w:eastAsia="ko-KR"/>
        </w:rPr>
      </w:pPr>
    </w:p>
    <w:p w14:paraId="44BC1BA1" w14:textId="0D707BF6" w:rsidR="007D1E7B" w:rsidRDefault="00792564" w:rsidP="007D1E7B">
      <w:pPr>
        <w:pStyle w:val="Textkrper-Erstzeileneinzug"/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shd w:val="clear" w:color="auto" w:fill="auto"/>
          <w:lang w:val="en-GB" w:eastAsia="ko-KR"/>
        </w:rPr>
        <w:t>The regression model for w</w:t>
      </w:r>
      <w:r w:rsidR="007D1E7B"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ind power </w:t>
      </w:r>
      <w:r>
        <w:rPr>
          <w:rFonts w:ascii="Arial" w:hAnsi="Arial"/>
          <w:sz w:val="20"/>
          <w:shd w:val="clear" w:color="auto" w:fill="auto"/>
          <w:lang w:val="en-GB" w:eastAsia="ko-KR"/>
        </w:rPr>
        <w:t>could explain</w:t>
      </w:r>
      <w:r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 </w:t>
      </w:r>
      <w:r w:rsidR="007D1E7B"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a total variance </w:t>
      </w:r>
      <w:r w:rsidR="00557720">
        <w:rPr>
          <w:rFonts w:ascii="Arial" w:hAnsi="Arial"/>
          <w:sz w:val="20"/>
          <w:shd w:val="clear" w:color="auto" w:fill="auto"/>
          <w:lang w:val="en-GB" w:eastAsia="ko-KR"/>
        </w:rPr>
        <w:t>of</w:t>
      </w:r>
      <w:r w:rsidR="007D1E7B" w:rsidRPr="007D1E7B">
        <w:rPr>
          <w:rFonts w:ascii="Arial" w:hAnsi="Arial"/>
          <w:sz w:val="20"/>
          <w:shd w:val="clear" w:color="auto" w:fill="auto"/>
          <w:lang w:val="en-GB" w:eastAsia="ko-KR"/>
        </w:rPr>
        <w:t xml:space="preserve"> 44</w:t>
      </w:r>
      <w:r w:rsidR="007D1E7B" w:rsidRPr="007D1E7B">
        <w:rPr>
          <w:rFonts w:ascii="Arial" w:hAnsi="Arial" w:cs="Arial"/>
          <w:sz w:val="20"/>
          <w:szCs w:val="20"/>
          <w:shd w:val="clear" w:color="auto" w:fill="auto"/>
          <w:lang w:val="en-GB" w:eastAsia="ko-KR"/>
        </w:rPr>
        <w:t>%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(</w:t>
      </w:r>
      <w:proofErr w:type="gramStart"/>
      <w:r w:rsidR="007D1E7B" w:rsidRPr="007D1E7B">
        <w:rPr>
          <w:rFonts w:ascii="Arial" w:hAnsi="Arial" w:cs="Arial"/>
          <w:sz w:val="20"/>
          <w:szCs w:val="20"/>
          <w:lang w:val="en-GB"/>
        </w:rPr>
        <w:t>F(</w:t>
      </w:r>
      <w:proofErr w:type="gramEnd"/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12,949) = 65.76, p &lt; 0.001), </w:t>
      </w:r>
      <w:r>
        <w:rPr>
          <w:rFonts w:ascii="Arial" w:hAnsi="Arial" w:cs="Arial"/>
          <w:sz w:val="20"/>
          <w:szCs w:val="20"/>
          <w:lang w:val="en-GB"/>
        </w:rPr>
        <w:t xml:space="preserve">the one for 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PV 39% (F(12,949) = 53.61, p &lt; 0.001). </w:t>
      </w:r>
      <w:r w:rsidR="00897FE3">
        <w:rPr>
          <w:rFonts w:ascii="Arial" w:hAnsi="Arial" w:cs="Arial"/>
          <w:sz w:val="20"/>
          <w:szCs w:val="20"/>
          <w:lang w:val="en-GB"/>
        </w:rPr>
        <w:t xml:space="preserve">In both </w:t>
      </w:r>
      <w:r w:rsidR="007D1E7B" w:rsidRPr="007D1E7B">
        <w:rPr>
          <w:rFonts w:ascii="Arial" w:hAnsi="Arial" w:cs="Arial"/>
          <w:sz w:val="20"/>
          <w:szCs w:val="20"/>
          <w:lang w:val="en-GB"/>
        </w:rPr>
        <w:t>model</w:t>
      </w:r>
      <w:r w:rsidR="00897FE3">
        <w:rPr>
          <w:rFonts w:ascii="Arial" w:hAnsi="Arial" w:cs="Arial"/>
          <w:sz w:val="20"/>
          <w:szCs w:val="20"/>
          <w:lang w:val="en-GB"/>
        </w:rPr>
        <w:t>s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, </w:t>
      </w:r>
      <w:r w:rsidR="001C2DFD" w:rsidRPr="007D1E7B">
        <w:rPr>
          <w:rFonts w:ascii="Arial" w:hAnsi="Arial" w:cs="Arial"/>
          <w:i/>
          <w:sz w:val="20"/>
          <w:szCs w:val="20"/>
          <w:lang w:val="en-GB"/>
        </w:rPr>
        <w:t>negative</w:t>
      </w:r>
      <w:r w:rsidR="00CC63E7">
        <w:rPr>
          <w:rFonts w:ascii="Arial" w:hAnsi="Arial" w:cs="Arial"/>
          <w:i/>
          <w:sz w:val="20"/>
          <w:szCs w:val="20"/>
          <w:lang w:val="en-GB"/>
        </w:rPr>
        <w:t xml:space="preserve"> RET</w:t>
      </w:r>
      <w:r w:rsidR="00974F22">
        <w:rPr>
          <w:rFonts w:ascii="Arial" w:hAnsi="Arial" w:cs="Arial"/>
          <w:i/>
          <w:sz w:val="20"/>
          <w:szCs w:val="20"/>
          <w:lang w:val="en-GB"/>
        </w:rPr>
        <w:t>-</w:t>
      </w:r>
      <w:r w:rsidR="00CC63E7">
        <w:rPr>
          <w:rFonts w:ascii="Arial" w:hAnsi="Arial" w:cs="Arial"/>
          <w:i/>
          <w:sz w:val="20"/>
          <w:szCs w:val="20"/>
          <w:lang w:val="en-GB"/>
        </w:rPr>
        <w:t>impact</w:t>
      </w:r>
      <w:r w:rsidR="001C2DFD" w:rsidRPr="007D1E7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C2DFD" w:rsidRPr="007D1E7B">
        <w:rPr>
          <w:rFonts w:ascii="Arial" w:hAnsi="Arial" w:cs="Arial"/>
          <w:sz w:val="20"/>
          <w:szCs w:val="20"/>
          <w:lang w:val="en-GB"/>
        </w:rPr>
        <w:t>(</w:t>
      </w:r>
      <w:r w:rsidR="001C2DFD">
        <w:rPr>
          <w:rFonts w:ascii="Arial" w:hAnsi="Arial" w:cs="Arial"/>
          <w:sz w:val="20"/>
          <w:szCs w:val="20"/>
          <w:lang w:val="en-GB"/>
        </w:rPr>
        <w:t xml:space="preserve">PV: </w:t>
      </w:r>
      <w:r w:rsidR="001C2DFD" w:rsidRPr="007D1E7B">
        <w:rPr>
          <w:rFonts w:ascii="Arial" w:hAnsi="Arial" w:cs="Arial"/>
          <w:i/>
          <w:sz w:val="20"/>
          <w:szCs w:val="20"/>
          <w:lang w:val="en-GB"/>
        </w:rPr>
        <w:t>β</w:t>
      </w:r>
      <w:r w:rsidR="001C2DFD" w:rsidRPr="007D1E7B">
        <w:rPr>
          <w:rFonts w:ascii="Arial" w:hAnsi="Arial" w:cs="Arial"/>
          <w:sz w:val="20"/>
          <w:szCs w:val="20"/>
          <w:lang w:val="en-GB"/>
        </w:rPr>
        <w:t xml:space="preserve"> = -0.43, </w:t>
      </w:r>
      <w:r w:rsidR="001C2DFD" w:rsidRPr="007D1E7B">
        <w:rPr>
          <w:rFonts w:ascii="Arial" w:hAnsi="Arial" w:cs="Arial"/>
          <w:i/>
          <w:sz w:val="20"/>
          <w:szCs w:val="20"/>
          <w:lang w:val="en-GB"/>
        </w:rPr>
        <w:t>p</w:t>
      </w:r>
      <w:r w:rsidR="001C2DFD" w:rsidRPr="007D1E7B">
        <w:rPr>
          <w:rFonts w:ascii="Arial" w:hAnsi="Arial" w:cs="Arial"/>
          <w:sz w:val="20"/>
          <w:szCs w:val="20"/>
          <w:lang w:val="en-GB"/>
        </w:rPr>
        <w:t xml:space="preserve"> &lt; 0.001</w:t>
      </w:r>
      <w:r w:rsidR="001C2DFD">
        <w:rPr>
          <w:rFonts w:ascii="Arial" w:hAnsi="Arial" w:cs="Arial"/>
          <w:sz w:val="20"/>
          <w:szCs w:val="20"/>
          <w:lang w:val="en-GB"/>
        </w:rPr>
        <w:t xml:space="preserve">; wind power: </w:t>
      </w:r>
      <w:r w:rsidR="001C2DFD" w:rsidRPr="007D1E7B">
        <w:rPr>
          <w:rFonts w:ascii="Arial" w:hAnsi="Arial" w:cs="Arial"/>
          <w:i/>
          <w:sz w:val="20"/>
          <w:szCs w:val="20"/>
          <w:lang w:val="en-GB"/>
        </w:rPr>
        <w:t>β</w:t>
      </w:r>
      <w:r w:rsidR="001C2DFD" w:rsidRPr="007D1E7B">
        <w:rPr>
          <w:rFonts w:ascii="Arial" w:hAnsi="Arial" w:cs="Arial"/>
          <w:sz w:val="20"/>
          <w:szCs w:val="20"/>
          <w:lang w:val="en-GB"/>
        </w:rPr>
        <w:t xml:space="preserve"> = -0.37, </w:t>
      </w:r>
      <w:r w:rsidR="001C2DFD" w:rsidRPr="007D1E7B">
        <w:rPr>
          <w:rFonts w:ascii="Arial" w:hAnsi="Arial" w:cs="Arial"/>
          <w:i/>
          <w:sz w:val="20"/>
          <w:szCs w:val="20"/>
          <w:lang w:val="en-GB"/>
        </w:rPr>
        <w:t>p</w:t>
      </w:r>
      <w:r w:rsidR="001C2DFD" w:rsidRPr="007D1E7B">
        <w:rPr>
          <w:rFonts w:ascii="Arial" w:hAnsi="Arial" w:cs="Arial"/>
          <w:sz w:val="20"/>
          <w:szCs w:val="20"/>
          <w:lang w:val="en-GB"/>
        </w:rPr>
        <w:t xml:space="preserve"> &lt; 0.001)</w:t>
      </w:r>
      <w:r w:rsidR="001C2DFD">
        <w:rPr>
          <w:rFonts w:ascii="Arial" w:hAnsi="Arial" w:cs="Arial"/>
          <w:sz w:val="20"/>
          <w:szCs w:val="20"/>
          <w:lang w:val="en-GB"/>
        </w:rPr>
        <w:t xml:space="preserve"> yielded</w:t>
      </w:r>
      <w:r w:rsidR="001C2DFD" w:rsidRPr="007D1E7B">
        <w:rPr>
          <w:rFonts w:ascii="Arial" w:hAnsi="Arial" w:cs="Arial"/>
          <w:sz w:val="20"/>
          <w:szCs w:val="20"/>
          <w:lang w:val="en-GB"/>
        </w:rPr>
        <w:t xml:space="preserve"> 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the highest regression weight followed by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>positive</w:t>
      </w:r>
      <w:r w:rsidR="00C0626B">
        <w:rPr>
          <w:rFonts w:ascii="Arial" w:hAnsi="Arial" w:cs="Arial"/>
          <w:i/>
          <w:sz w:val="20"/>
          <w:szCs w:val="20"/>
          <w:lang w:val="en-GB"/>
        </w:rPr>
        <w:t xml:space="preserve"> RET</w:t>
      </w:r>
      <w:r w:rsidR="00974F22">
        <w:rPr>
          <w:rFonts w:ascii="Arial" w:hAnsi="Arial" w:cs="Arial"/>
          <w:i/>
          <w:sz w:val="20"/>
          <w:szCs w:val="20"/>
          <w:lang w:val="en-GB"/>
        </w:rPr>
        <w:t>-</w:t>
      </w:r>
      <w:r w:rsidR="00C0626B">
        <w:rPr>
          <w:rFonts w:ascii="Arial" w:hAnsi="Arial" w:cs="Arial"/>
          <w:i/>
          <w:sz w:val="20"/>
          <w:szCs w:val="20"/>
          <w:lang w:val="en-GB"/>
        </w:rPr>
        <w:t>impact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(</w:t>
      </w:r>
      <w:r w:rsidR="00897FE3">
        <w:rPr>
          <w:rFonts w:ascii="Arial" w:hAnsi="Arial" w:cs="Arial"/>
          <w:sz w:val="20"/>
          <w:szCs w:val="20"/>
          <w:lang w:val="en-GB"/>
        </w:rPr>
        <w:t xml:space="preserve">PV: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>β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= 0.24,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>p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&lt; 0.001</w:t>
      </w:r>
      <w:r w:rsidR="00897FE3">
        <w:rPr>
          <w:rFonts w:ascii="Arial" w:hAnsi="Arial" w:cs="Arial"/>
          <w:sz w:val="20"/>
          <w:szCs w:val="20"/>
          <w:lang w:val="en-GB"/>
        </w:rPr>
        <w:t xml:space="preserve">; wind power: </w:t>
      </w:r>
      <w:r w:rsidR="00897FE3" w:rsidRPr="007D1E7B">
        <w:rPr>
          <w:rFonts w:ascii="Arial" w:hAnsi="Arial" w:cs="Arial"/>
          <w:i/>
          <w:sz w:val="20"/>
          <w:lang w:val="en-GB"/>
        </w:rPr>
        <w:t>β</w:t>
      </w:r>
      <w:r w:rsidR="00897FE3" w:rsidRPr="007D1E7B">
        <w:rPr>
          <w:rFonts w:ascii="Arial" w:hAnsi="Arial" w:cs="Arial"/>
          <w:sz w:val="20"/>
          <w:lang w:val="en-GB"/>
        </w:rPr>
        <w:t xml:space="preserve"> = 0.34, </w:t>
      </w:r>
      <w:r w:rsidR="00897FE3" w:rsidRPr="007D1E7B">
        <w:rPr>
          <w:rFonts w:ascii="Arial" w:hAnsi="Arial" w:cs="Arial"/>
          <w:i/>
          <w:sz w:val="20"/>
          <w:lang w:val="en-GB"/>
        </w:rPr>
        <w:t>p</w:t>
      </w:r>
      <w:r w:rsidR="00897FE3" w:rsidRPr="007D1E7B">
        <w:rPr>
          <w:rFonts w:ascii="Arial" w:hAnsi="Arial" w:cs="Arial"/>
          <w:sz w:val="20"/>
          <w:lang w:val="en-GB"/>
        </w:rPr>
        <w:t xml:space="preserve"> &lt; 0.001) 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and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 xml:space="preserve">place attachment </w:t>
      </w:r>
      <w:r w:rsidR="007D1E7B" w:rsidRPr="007D1E7B">
        <w:rPr>
          <w:rFonts w:ascii="Arial" w:hAnsi="Arial" w:cs="Arial"/>
          <w:sz w:val="20"/>
          <w:szCs w:val="20"/>
          <w:lang w:val="en-GB"/>
        </w:rPr>
        <w:t>(</w:t>
      </w:r>
      <w:r w:rsidR="00897FE3">
        <w:rPr>
          <w:rFonts w:ascii="Arial" w:hAnsi="Arial" w:cs="Arial"/>
          <w:sz w:val="20"/>
          <w:szCs w:val="20"/>
          <w:lang w:val="en-GB"/>
        </w:rPr>
        <w:t xml:space="preserve">PV: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>β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= -0.16,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>p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&lt; 0.001</w:t>
      </w:r>
      <w:r w:rsidR="00897FE3">
        <w:rPr>
          <w:rFonts w:ascii="Arial" w:hAnsi="Arial" w:cs="Arial"/>
          <w:sz w:val="20"/>
          <w:szCs w:val="20"/>
          <w:lang w:val="en-GB"/>
        </w:rPr>
        <w:t xml:space="preserve">; wind power: </w:t>
      </w:r>
      <w:r w:rsidR="00897FE3" w:rsidRPr="007D1E7B">
        <w:rPr>
          <w:rFonts w:ascii="Arial" w:hAnsi="Arial" w:cs="Arial"/>
          <w:i/>
          <w:sz w:val="20"/>
          <w:lang w:val="en-GB"/>
        </w:rPr>
        <w:t>β</w:t>
      </w:r>
      <w:r w:rsidR="00897FE3" w:rsidRPr="007D1E7B">
        <w:rPr>
          <w:rFonts w:ascii="Arial" w:hAnsi="Arial" w:cs="Arial"/>
          <w:sz w:val="20"/>
          <w:lang w:val="en-GB"/>
        </w:rPr>
        <w:t xml:space="preserve"> = -0.12, </w:t>
      </w:r>
      <w:r w:rsidR="00897FE3" w:rsidRPr="007D1E7B">
        <w:rPr>
          <w:rFonts w:ascii="Arial" w:hAnsi="Arial" w:cs="Arial"/>
          <w:i/>
          <w:sz w:val="20"/>
          <w:lang w:val="en-GB"/>
        </w:rPr>
        <w:t>p</w:t>
      </w:r>
      <w:r w:rsidR="00897FE3" w:rsidRPr="007D1E7B">
        <w:rPr>
          <w:rFonts w:ascii="Arial" w:hAnsi="Arial" w:cs="Arial"/>
          <w:sz w:val="20"/>
          <w:lang w:val="en-GB"/>
        </w:rPr>
        <w:t xml:space="preserve"> &lt; 0.001)</w:t>
      </w:r>
      <w:r w:rsidR="007A5940">
        <w:rPr>
          <w:rFonts w:ascii="Arial" w:hAnsi="Arial" w:cs="Arial"/>
          <w:sz w:val="20"/>
          <w:lang w:val="en-GB"/>
        </w:rPr>
        <w:t xml:space="preserve"> Further, </w:t>
      </w:r>
      <w:r w:rsidR="007A5940" w:rsidRPr="007A5940">
        <w:rPr>
          <w:rFonts w:ascii="Arial" w:hAnsi="Arial" w:cs="Arial"/>
          <w:i/>
          <w:sz w:val="20"/>
          <w:lang w:val="en-GB"/>
        </w:rPr>
        <w:t>R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>ET optimism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</w:t>
      </w:r>
      <w:r w:rsidR="00557720">
        <w:rPr>
          <w:rFonts w:ascii="Arial" w:hAnsi="Arial" w:cs="Arial"/>
          <w:sz w:val="20"/>
          <w:szCs w:val="20"/>
          <w:lang w:val="en-GB"/>
        </w:rPr>
        <w:t xml:space="preserve">and </w:t>
      </w:r>
      <w:r w:rsidR="00557720" w:rsidRPr="00557720">
        <w:rPr>
          <w:rFonts w:ascii="Arial" w:hAnsi="Arial" w:cs="Arial"/>
          <w:i/>
          <w:sz w:val="20"/>
          <w:szCs w:val="20"/>
          <w:lang w:val="en-GB"/>
        </w:rPr>
        <w:t>distributional justice</w:t>
      </w:r>
      <w:r w:rsidR="00557720">
        <w:rPr>
          <w:rFonts w:ascii="Arial" w:hAnsi="Arial" w:cs="Arial"/>
          <w:sz w:val="20"/>
          <w:szCs w:val="20"/>
          <w:lang w:val="en-GB"/>
        </w:rPr>
        <w:t xml:space="preserve"> </w:t>
      </w:r>
      <w:r w:rsidR="00897FE3" w:rsidRPr="007D1E7B">
        <w:rPr>
          <w:rFonts w:ascii="Arial" w:hAnsi="Arial" w:cs="Arial"/>
          <w:sz w:val="20"/>
          <w:szCs w:val="20"/>
          <w:lang w:val="en-GB"/>
        </w:rPr>
        <w:t xml:space="preserve">yielded </w:t>
      </w:r>
      <w:r w:rsidR="00557720">
        <w:rPr>
          <w:rFonts w:ascii="Arial" w:hAnsi="Arial" w:cs="Arial"/>
          <w:sz w:val="20"/>
          <w:szCs w:val="20"/>
          <w:lang w:val="en-GB"/>
        </w:rPr>
        <w:t>(</w:t>
      </w:r>
      <w:r w:rsidR="00897FE3" w:rsidRPr="007D1E7B">
        <w:rPr>
          <w:rFonts w:ascii="Arial" w:hAnsi="Arial" w:cs="Arial"/>
          <w:sz w:val="20"/>
          <w:szCs w:val="20"/>
          <w:lang w:val="en-GB"/>
        </w:rPr>
        <w:t>highly</w:t>
      </w:r>
      <w:r w:rsidR="00557720">
        <w:rPr>
          <w:rFonts w:ascii="Arial" w:hAnsi="Arial" w:cs="Arial"/>
          <w:sz w:val="20"/>
          <w:szCs w:val="20"/>
          <w:lang w:val="en-GB"/>
        </w:rPr>
        <w:t>)</w:t>
      </w:r>
      <w:r w:rsidR="00897FE3" w:rsidRPr="007D1E7B">
        <w:rPr>
          <w:rFonts w:ascii="Arial" w:hAnsi="Arial" w:cs="Arial"/>
          <w:sz w:val="20"/>
          <w:szCs w:val="20"/>
          <w:lang w:val="en-GB"/>
        </w:rPr>
        <w:t xml:space="preserve"> significant results</w:t>
      </w:r>
      <w:r w:rsidR="00557720">
        <w:rPr>
          <w:rFonts w:ascii="Arial" w:hAnsi="Arial" w:cs="Arial"/>
          <w:sz w:val="20"/>
          <w:szCs w:val="20"/>
          <w:lang w:val="en-GB"/>
        </w:rPr>
        <w:t xml:space="preserve">, 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while </w:t>
      </w:r>
      <w:r w:rsidR="007D1E7B" w:rsidRPr="007D1E7B">
        <w:rPr>
          <w:rFonts w:ascii="Arial" w:hAnsi="Arial" w:cs="Arial"/>
          <w:i/>
          <w:sz w:val="20"/>
          <w:szCs w:val="20"/>
          <w:lang w:val="en-GB"/>
        </w:rPr>
        <w:t xml:space="preserve">recognition justice </w:t>
      </w:r>
      <w:r w:rsidR="00897FE3">
        <w:rPr>
          <w:rFonts w:ascii="Arial" w:hAnsi="Arial" w:cs="Arial"/>
          <w:sz w:val="20"/>
          <w:szCs w:val="20"/>
          <w:lang w:val="en-GB"/>
        </w:rPr>
        <w:t xml:space="preserve">was only 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significant </w:t>
      </w:r>
      <w:r w:rsidR="00557720">
        <w:rPr>
          <w:rFonts w:ascii="Arial" w:hAnsi="Arial" w:cs="Arial"/>
          <w:sz w:val="20"/>
          <w:szCs w:val="20"/>
          <w:lang w:val="en-GB"/>
        </w:rPr>
        <w:t>for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</w:t>
      </w:r>
      <w:r w:rsidR="00897FE3">
        <w:rPr>
          <w:rFonts w:ascii="Arial" w:hAnsi="Arial" w:cs="Arial"/>
          <w:sz w:val="20"/>
          <w:szCs w:val="20"/>
          <w:lang w:val="en-GB"/>
        </w:rPr>
        <w:t>wind power</w:t>
      </w:r>
      <w:r w:rsidR="00557720">
        <w:rPr>
          <w:rFonts w:ascii="Arial" w:hAnsi="Arial" w:cs="Arial"/>
          <w:sz w:val="20"/>
          <w:szCs w:val="20"/>
          <w:lang w:val="en-GB"/>
        </w:rPr>
        <w:t>.</w:t>
      </w:r>
      <w:r w:rsidR="007D1E7B" w:rsidRPr="007D1E7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815C296" w14:textId="25D6EAF5" w:rsidR="001C2DFD" w:rsidRDefault="001C2DFD" w:rsidP="007D1E7B">
      <w:pPr>
        <w:pStyle w:val="Textkrper-Erstzeileneinzug"/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</w:p>
    <w:p w14:paraId="16FEFE37" w14:textId="24ABDDE6" w:rsidR="001C2DFD" w:rsidRDefault="001C2DFD" w:rsidP="007D1E7B">
      <w:pPr>
        <w:pStyle w:val="Textkrper-Erstzeileneinzug"/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study confirmed the assumption </w:t>
      </w:r>
      <w:r w:rsidR="00AD4916">
        <w:rPr>
          <w:rFonts w:ascii="Arial" w:hAnsi="Arial" w:cs="Arial"/>
          <w:sz w:val="20"/>
          <w:szCs w:val="20"/>
          <w:lang w:val="en-GB"/>
        </w:rPr>
        <w:t xml:space="preserve">derived </w:t>
      </w:r>
      <w:r>
        <w:rPr>
          <w:rFonts w:ascii="Arial" w:hAnsi="Arial" w:cs="Arial"/>
          <w:sz w:val="20"/>
          <w:szCs w:val="20"/>
          <w:lang w:val="en-GB"/>
        </w:rPr>
        <w:t xml:space="preserve">from </w:t>
      </w:r>
      <w:r w:rsidR="006408BF">
        <w:rPr>
          <w:rFonts w:ascii="Arial" w:hAnsi="Arial" w:cs="Arial"/>
          <w:sz w:val="20"/>
          <w:szCs w:val="20"/>
          <w:lang w:val="en-GB"/>
        </w:rPr>
        <w:t xml:space="preserve">social acceptance </w:t>
      </w:r>
      <w:r>
        <w:rPr>
          <w:rFonts w:ascii="Arial" w:hAnsi="Arial" w:cs="Arial"/>
          <w:sz w:val="20"/>
          <w:szCs w:val="20"/>
          <w:lang w:val="en-GB"/>
        </w:rPr>
        <w:t xml:space="preserve">literature </w:t>
      </w:r>
      <w:r w:rsidR="007042D7">
        <w:rPr>
          <w:rFonts w:ascii="Arial" w:hAnsi="Arial" w:cs="Arial"/>
          <w:sz w:val="20"/>
          <w:szCs w:val="20"/>
          <w:lang w:val="en-GB"/>
        </w:rPr>
        <w:t>[</w:t>
      </w:r>
      <w:r w:rsidR="00167EDA">
        <w:rPr>
          <w:rFonts w:ascii="Arial" w:hAnsi="Arial" w:cs="Arial"/>
          <w:sz w:val="20"/>
          <w:szCs w:val="20"/>
          <w:lang w:val="en-GB"/>
        </w:rPr>
        <w:t>8</w:t>
      </w:r>
      <w:r w:rsidR="007042D7">
        <w:rPr>
          <w:rFonts w:ascii="Arial" w:hAnsi="Arial" w:cs="Arial"/>
          <w:sz w:val="20"/>
          <w:szCs w:val="20"/>
          <w:lang w:val="en-GB"/>
        </w:rPr>
        <w:t xml:space="preserve">][11] </w:t>
      </w:r>
      <w:r w:rsidRPr="001C2DFD">
        <w:rPr>
          <w:rFonts w:ascii="Arial" w:hAnsi="Arial" w:cs="Arial"/>
          <w:sz w:val="20"/>
          <w:szCs w:val="20"/>
          <w:lang w:val="en-GB"/>
        </w:rPr>
        <w:t>that</w:t>
      </w:r>
      <w:r w:rsidR="006408BF">
        <w:rPr>
          <w:rFonts w:ascii="Arial" w:hAnsi="Arial" w:cs="Arial"/>
          <w:sz w:val="20"/>
          <w:szCs w:val="20"/>
          <w:lang w:val="en-GB"/>
        </w:rPr>
        <w:t xml:space="preserve"> in tourism regions </w:t>
      </w:r>
      <w:r w:rsidRPr="001C2DFD">
        <w:rPr>
          <w:rFonts w:ascii="Arial" w:hAnsi="Arial" w:cs="Arial"/>
          <w:sz w:val="20"/>
          <w:szCs w:val="20"/>
          <w:lang w:val="en-GB"/>
        </w:rPr>
        <w:t xml:space="preserve">wind power is seen </w:t>
      </w:r>
      <w:r w:rsidR="006408BF">
        <w:rPr>
          <w:rFonts w:ascii="Arial" w:hAnsi="Arial" w:cs="Arial"/>
          <w:sz w:val="20"/>
          <w:szCs w:val="20"/>
          <w:lang w:val="en-GB"/>
        </w:rPr>
        <w:t xml:space="preserve">as </w:t>
      </w:r>
      <w:r w:rsidRPr="001C2DFD">
        <w:rPr>
          <w:rFonts w:ascii="Arial" w:hAnsi="Arial" w:cs="Arial"/>
          <w:sz w:val="20"/>
          <w:szCs w:val="20"/>
          <w:lang w:val="en-GB"/>
        </w:rPr>
        <w:t>more controversial</w:t>
      </w:r>
      <w:r w:rsidR="006408BF">
        <w:rPr>
          <w:rFonts w:ascii="Arial" w:hAnsi="Arial" w:cs="Arial"/>
          <w:sz w:val="20"/>
          <w:szCs w:val="20"/>
          <w:lang w:val="en-GB"/>
        </w:rPr>
        <w:t xml:space="preserve"> </w:t>
      </w:r>
      <w:r w:rsidRPr="001C2DFD">
        <w:rPr>
          <w:rFonts w:ascii="Arial" w:hAnsi="Arial" w:cs="Arial"/>
          <w:sz w:val="20"/>
          <w:szCs w:val="20"/>
          <w:lang w:val="en-GB"/>
        </w:rPr>
        <w:t xml:space="preserve">than </w:t>
      </w:r>
      <w:r w:rsidR="00C0626B">
        <w:rPr>
          <w:rFonts w:ascii="Arial" w:hAnsi="Arial" w:cs="Arial"/>
          <w:sz w:val="20"/>
          <w:szCs w:val="20"/>
          <w:lang w:val="en-GB"/>
        </w:rPr>
        <w:t xml:space="preserve">large-scale </w:t>
      </w:r>
      <w:r w:rsidR="00557720">
        <w:rPr>
          <w:rFonts w:ascii="Arial" w:hAnsi="Arial" w:cs="Arial"/>
          <w:sz w:val="20"/>
          <w:szCs w:val="20"/>
          <w:lang w:val="en-GB"/>
        </w:rPr>
        <w:t>PV</w:t>
      </w:r>
      <w:r w:rsidRPr="001C2DFD">
        <w:rPr>
          <w:rFonts w:ascii="Arial" w:hAnsi="Arial" w:cs="Arial"/>
          <w:sz w:val="20"/>
          <w:szCs w:val="20"/>
          <w:lang w:val="en-GB"/>
        </w:rPr>
        <w:t>.</w:t>
      </w:r>
      <w:r w:rsidR="007A594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It was found that especially assumed impacts, </w:t>
      </w:r>
      <w:r w:rsidR="00974F22">
        <w:rPr>
          <w:rFonts w:ascii="Arial" w:hAnsi="Arial" w:cs="Arial"/>
          <w:sz w:val="20"/>
          <w:szCs w:val="20"/>
          <w:lang w:val="en-GB"/>
        </w:rPr>
        <w:t>either</w:t>
      </w:r>
      <w:r>
        <w:rPr>
          <w:rFonts w:ascii="Arial" w:hAnsi="Arial" w:cs="Arial"/>
          <w:sz w:val="20"/>
          <w:szCs w:val="20"/>
          <w:lang w:val="en-GB"/>
        </w:rPr>
        <w:t xml:space="preserve"> negative or positive, can be associated with</w:t>
      </w:r>
      <w:r w:rsidR="00B4398E">
        <w:rPr>
          <w:rFonts w:ascii="Arial" w:hAnsi="Arial" w:cs="Arial"/>
          <w:sz w:val="20"/>
          <w:szCs w:val="20"/>
          <w:lang w:val="en-GB"/>
        </w:rPr>
        <w:t xml:space="preserve"> acceptance.</w:t>
      </w:r>
    </w:p>
    <w:p w14:paraId="23E0A8B5" w14:textId="77777777" w:rsidR="001C2DFD" w:rsidRPr="001C2DFD" w:rsidRDefault="001C2DFD" w:rsidP="007D1E7B">
      <w:pPr>
        <w:pStyle w:val="Textkrper-Erstzeileneinzug"/>
        <w:spacing w:line="240" w:lineRule="auto"/>
        <w:ind w:firstLine="0"/>
        <w:rPr>
          <w:rFonts w:ascii="Arial" w:hAnsi="Arial" w:cs="Arial"/>
          <w:sz w:val="20"/>
          <w:szCs w:val="20"/>
          <w:lang w:val="en-GB"/>
        </w:rPr>
      </w:pPr>
    </w:p>
    <w:p w14:paraId="32BE448E" w14:textId="77777777" w:rsidR="00E162E5" w:rsidRDefault="00E162E5">
      <w:pPr>
        <w:jc w:val="left"/>
        <w:rPr>
          <w:b/>
          <w:spacing w:val="-5"/>
          <w:sz w:val="22"/>
          <w:lang w:val="en-GB" w:eastAsia="de-DE"/>
        </w:rPr>
      </w:pPr>
      <w:bookmarkStart w:id="2" w:name="_Toc26086066"/>
      <w:bookmarkStart w:id="3" w:name="_Toc68418491"/>
      <w:r>
        <w:rPr>
          <w:lang w:val="en-GB"/>
        </w:rPr>
        <w:br w:type="page"/>
      </w:r>
    </w:p>
    <w:p w14:paraId="0C0574B2" w14:textId="0F4059B6" w:rsidR="005E4D4F" w:rsidRPr="00B3438C" w:rsidRDefault="005E4D4F" w:rsidP="00A156E4">
      <w:pPr>
        <w:pStyle w:val="Ueberschrift"/>
        <w:rPr>
          <w:lang w:val="en-GB"/>
        </w:rPr>
      </w:pPr>
      <w:r w:rsidRPr="00B3438C">
        <w:rPr>
          <w:lang w:val="en-GB"/>
        </w:rPr>
        <w:lastRenderedPageBreak/>
        <w:t>Literatur</w:t>
      </w:r>
      <w:bookmarkEnd w:id="2"/>
      <w:bookmarkEnd w:id="3"/>
      <w:r w:rsidR="00E162E5">
        <w:rPr>
          <w:lang w:val="en-GB"/>
        </w:rPr>
        <w:t>e</w:t>
      </w:r>
    </w:p>
    <w:p w14:paraId="3121B135" w14:textId="55CD43E8" w:rsidR="00BF493B" w:rsidRPr="00583B9A" w:rsidRDefault="00483B87" w:rsidP="00583B9A">
      <w:pPr>
        <w:pStyle w:val="Literatur"/>
        <w:rPr>
          <w:color w:val="FF0000"/>
          <w:lang w:val="en-GB" w:eastAsia="de-AT"/>
        </w:rPr>
      </w:pPr>
      <w:r w:rsidRPr="00E214A0">
        <w:rPr>
          <w:lang w:val="en-GB"/>
        </w:rPr>
        <w:t>[1]</w:t>
      </w:r>
      <w:r w:rsidRPr="00E214A0">
        <w:rPr>
          <w:lang w:val="en-GB"/>
        </w:rPr>
        <w:tab/>
      </w:r>
      <w:r w:rsidR="00E214A0" w:rsidRPr="00BF493B">
        <w:rPr>
          <w:noProof/>
          <w:lang w:val="en-GB"/>
        </w:rPr>
        <w:t xml:space="preserve">Aitchison, C., MacLeod, N. E., &amp; Shaw, S. J. (2000). </w:t>
      </w:r>
      <w:r w:rsidR="00E214A0" w:rsidRPr="00BF493B">
        <w:rPr>
          <w:i/>
          <w:iCs/>
          <w:noProof/>
          <w:lang w:val="en-GB"/>
        </w:rPr>
        <w:t>Leisure and Tourism Landscapes: Social and Cultural Geographies.</w:t>
      </w:r>
      <w:r w:rsidR="00E214A0" w:rsidRPr="00BF493B">
        <w:rPr>
          <w:noProof/>
          <w:lang w:val="en-GB"/>
        </w:rPr>
        <w:t xml:space="preserve"> </w:t>
      </w:r>
      <w:r w:rsidR="00E214A0" w:rsidRPr="00E214A0">
        <w:rPr>
          <w:noProof/>
          <w:lang w:val="en-GB"/>
        </w:rPr>
        <w:t>London, United Kingdom: Routledge.</w:t>
      </w:r>
      <w:r w:rsidR="00BF493B" w:rsidRPr="00E214A0">
        <w:rPr>
          <w:noProof/>
          <w:lang w:val="en-GB"/>
        </w:rPr>
        <w:t xml:space="preserve"> </w:t>
      </w:r>
      <w:r w:rsidR="00BF493B" w:rsidRPr="00BF493B">
        <w:rPr>
          <w:noProof/>
          <w:lang w:val="en-GB"/>
        </w:rPr>
        <w:t>58/ME (XXVII.GP)</w:t>
      </w:r>
      <w:r w:rsidR="00BF493B" w:rsidRPr="00BF493B">
        <w:rPr>
          <w:lang w:val="en-GB" w:eastAsia="de-AT"/>
        </w:rPr>
        <w:t>,</w:t>
      </w:r>
      <w:r w:rsidR="00B3438C" w:rsidRPr="00BF493B">
        <w:rPr>
          <w:lang w:val="en-GB" w:eastAsia="de-AT"/>
        </w:rPr>
        <w:t xml:space="preserve"> Draft 2020</w:t>
      </w:r>
      <w:r w:rsidR="00BF493B" w:rsidRPr="00BF493B">
        <w:rPr>
          <w:lang w:val="en-GB" w:eastAsia="de-AT"/>
        </w:rPr>
        <w:t xml:space="preserve"> </w:t>
      </w:r>
      <w:hyperlink r:id="rId8" w:history="1">
        <w:r w:rsidR="00583B9A" w:rsidRPr="005B1DCA">
          <w:rPr>
            <w:rStyle w:val="Hyperlink"/>
            <w:noProof/>
            <w:lang w:val="en-GB"/>
          </w:rPr>
          <w:t>https://www.parlament.gv.at/PAKT/VHG/XXVII/ME/ME_00058/index.shtml</w:t>
        </w:r>
      </w:hyperlink>
      <w:r w:rsidR="00583B9A">
        <w:rPr>
          <w:noProof/>
          <w:lang w:val="en-GB"/>
        </w:rPr>
        <w:t xml:space="preserve"> </w:t>
      </w:r>
    </w:p>
    <w:p w14:paraId="53EDE65A" w14:textId="06C40697" w:rsidR="00010E92" w:rsidRPr="00583B9A" w:rsidRDefault="00483B87" w:rsidP="00E214A0">
      <w:pPr>
        <w:pStyle w:val="Literatur"/>
        <w:rPr>
          <w:noProof/>
          <w:lang w:val="de-AT" w:eastAsia="de-AT"/>
        </w:rPr>
      </w:pPr>
      <w:r w:rsidRPr="00B3438C">
        <w:rPr>
          <w:lang w:val="en-GB"/>
        </w:rPr>
        <w:t>[2]</w:t>
      </w:r>
      <w:r w:rsidRPr="00B3438C">
        <w:rPr>
          <w:lang w:val="en-GB"/>
        </w:rPr>
        <w:tab/>
      </w:r>
      <w:r w:rsidR="00E214A0" w:rsidRPr="00E214A0">
        <w:rPr>
          <w:noProof/>
          <w:lang w:val="en-GB"/>
        </w:rPr>
        <w:t xml:space="preserve">Bell, D., Gray, T., &amp; Haggett, C. (2005). The “social gap” in wind farm siting decisions: Explanations and policy responses. </w:t>
      </w:r>
      <w:r w:rsidR="00E214A0" w:rsidRPr="00583B9A">
        <w:rPr>
          <w:i/>
          <w:iCs/>
          <w:noProof/>
          <w:lang w:val="de-AT"/>
        </w:rPr>
        <w:t>Environmental Politics</w:t>
      </w:r>
      <w:r w:rsidR="00E214A0" w:rsidRPr="00583B9A">
        <w:rPr>
          <w:noProof/>
          <w:lang w:val="de-AT"/>
        </w:rPr>
        <w:t xml:space="preserve">, </w:t>
      </w:r>
      <w:r w:rsidR="00E214A0" w:rsidRPr="00583B9A">
        <w:rPr>
          <w:i/>
          <w:iCs/>
          <w:noProof/>
          <w:lang w:val="de-AT"/>
        </w:rPr>
        <w:t>14</w:t>
      </w:r>
      <w:r w:rsidR="00E214A0" w:rsidRPr="00583B9A">
        <w:rPr>
          <w:noProof/>
          <w:lang w:val="de-AT"/>
        </w:rPr>
        <w:t xml:space="preserve">(4), 460–477. </w:t>
      </w:r>
      <w:hyperlink r:id="rId9" w:history="1">
        <w:r w:rsidR="00583B9A" w:rsidRPr="005B1DCA">
          <w:rPr>
            <w:rStyle w:val="Hyperlink"/>
            <w:noProof/>
            <w:lang w:val="de-AT"/>
          </w:rPr>
          <w:t>https://doi.org/10.1080/09644010500175833</w:t>
        </w:r>
      </w:hyperlink>
      <w:r w:rsidR="00583B9A">
        <w:rPr>
          <w:noProof/>
          <w:lang w:val="de-AT"/>
        </w:rPr>
        <w:t xml:space="preserve"> </w:t>
      </w:r>
    </w:p>
    <w:p w14:paraId="68D7DAF1" w14:textId="053D57A4" w:rsidR="00BF493B" w:rsidRDefault="00BF493B" w:rsidP="00E214A0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E214A0">
        <w:rPr>
          <w:noProof/>
          <w:lang w:val="de-AT" w:eastAsia="de-AT"/>
        </w:rPr>
        <w:t>[3]</w:t>
      </w:r>
      <w:r w:rsidRPr="00E214A0">
        <w:rPr>
          <w:noProof/>
          <w:lang w:val="de-AT"/>
        </w:rPr>
        <w:t xml:space="preserve"> </w:t>
      </w:r>
      <w:proofErr w:type="spellStart"/>
      <w:r w:rsidR="00E214A0" w:rsidRPr="00BF493B">
        <w:rPr>
          <w:lang w:val="de-AT" w:eastAsia="de-AT"/>
        </w:rPr>
        <w:t>Section</w:t>
      </w:r>
      <w:proofErr w:type="spellEnd"/>
      <w:r w:rsidR="00E214A0" w:rsidRPr="00BF493B">
        <w:rPr>
          <w:lang w:val="de-AT" w:eastAsia="de-AT"/>
        </w:rPr>
        <w:t xml:space="preserve"> 4 </w:t>
      </w:r>
      <w:proofErr w:type="spellStart"/>
      <w:r w:rsidR="00E214A0" w:rsidRPr="00BF493B">
        <w:rPr>
          <w:lang w:val="de-AT" w:eastAsia="de-AT"/>
        </w:rPr>
        <w:t>Subsection</w:t>
      </w:r>
      <w:proofErr w:type="spellEnd"/>
      <w:r w:rsidR="00E214A0" w:rsidRPr="00BF493B">
        <w:rPr>
          <w:lang w:val="de-AT" w:eastAsia="de-AT"/>
        </w:rPr>
        <w:t xml:space="preserve"> 4 </w:t>
      </w:r>
      <w:r w:rsidR="00E214A0" w:rsidRPr="00BF493B">
        <w:rPr>
          <w:noProof/>
        </w:rPr>
        <w:t xml:space="preserve">Bundesgesetz, mit dem ein Bundesgesetz über den Ausbau von Energie aus erneuerbaren Quellen (Erneuerbaren-Ausbau-Gesetz – EAG) erlassen wird sowie das Ökostromgesetz 2012, das Elektrizitätswirtschafts- und –organisationsgesetz 2010, das Gaswirtschaftsgesetz 2011, das Energielenkungsgesetz 2012, das Energie-Control-Gesetz, das Bundesgesetz zur Festlegung einheitlicher Standards beim Infrastrukturaufbau für alternative Kraftstoffe, das Wärme- und Kälteleitungsausbaugesetz, das Starkstromwegegesetz 1968 und das Bundesgesetz vom 6. Feber 1968 über elektrische Leitungsanlagen, die sich nicht auf zwei oder mehrere Bundesländer erstrecken, geändert werden. </w:t>
      </w:r>
    </w:p>
    <w:p w14:paraId="5EF70B4F" w14:textId="2EB1D7E6" w:rsidR="00BF493B" w:rsidRPr="00BF493B" w:rsidRDefault="00BF493B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>
        <w:rPr>
          <w:noProof/>
        </w:rPr>
        <w:t xml:space="preserve">[4] </w:t>
      </w:r>
      <w:r w:rsidR="00E214A0" w:rsidRPr="00CB7A4F">
        <w:rPr>
          <w:noProof/>
        </w:rPr>
        <w:t xml:space="preserve">de Sousa, A. J. G., &amp; Kastenholz, E. (2015). </w:t>
      </w:r>
      <w:r w:rsidR="00E214A0" w:rsidRPr="00BF493B">
        <w:rPr>
          <w:noProof/>
          <w:lang w:val="en-GB"/>
        </w:rPr>
        <w:t xml:space="preserve">Wind farms and the rural tourism experience – problem or possible productive integration? The views of visitors and residents of a Portuguese village. </w:t>
      </w:r>
      <w:r w:rsidR="00E214A0" w:rsidRPr="00BF493B">
        <w:rPr>
          <w:i/>
          <w:iCs/>
          <w:noProof/>
          <w:lang w:val="en-GB"/>
        </w:rPr>
        <w:t>Journal of Sustainable Tourism</w:t>
      </w:r>
      <w:r w:rsidR="00E214A0" w:rsidRPr="00BF493B">
        <w:rPr>
          <w:noProof/>
          <w:lang w:val="en-GB"/>
        </w:rPr>
        <w:t xml:space="preserve">, </w:t>
      </w:r>
      <w:r w:rsidR="00E214A0" w:rsidRPr="00BF493B">
        <w:rPr>
          <w:i/>
          <w:iCs/>
          <w:noProof/>
          <w:lang w:val="en-GB"/>
        </w:rPr>
        <w:t>23</w:t>
      </w:r>
      <w:r w:rsidR="00E214A0" w:rsidRPr="00BF493B">
        <w:rPr>
          <w:noProof/>
          <w:lang w:val="en-GB"/>
        </w:rPr>
        <w:t xml:space="preserve">(8–9), 1236–1256. </w:t>
      </w:r>
      <w:hyperlink r:id="rId10" w:history="1">
        <w:r w:rsidR="00583B9A" w:rsidRPr="005B1DCA">
          <w:rPr>
            <w:rStyle w:val="Hyperlink"/>
            <w:noProof/>
            <w:lang w:val="en-GB"/>
          </w:rPr>
          <w:t>https://doi.org/10.1080/09669582.2015.1008499</w:t>
        </w:r>
      </w:hyperlink>
      <w:r w:rsidR="00583B9A">
        <w:rPr>
          <w:noProof/>
          <w:lang w:val="en-GB"/>
        </w:rPr>
        <w:t xml:space="preserve"> </w:t>
      </w:r>
    </w:p>
    <w:p w14:paraId="71E303F4" w14:textId="21CFD934" w:rsidR="00BF493B" w:rsidRPr="00E43EBF" w:rsidRDefault="00BF493B" w:rsidP="00583B9A">
      <w:pPr>
        <w:widowControl w:val="0"/>
        <w:autoSpaceDE w:val="0"/>
        <w:autoSpaceDN w:val="0"/>
        <w:adjustRightInd w:val="0"/>
        <w:ind w:left="482" w:hanging="482"/>
        <w:rPr>
          <w:noProof/>
          <w:lang w:val="en-GB"/>
        </w:rPr>
      </w:pPr>
      <w:r w:rsidRPr="00BF493B">
        <w:rPr>
          <w:noProof/>
          <w:lang w:val="en-GB"/>
        </w:rPr>
        <w:t>[</w:t>
      </w:r>
      <w:r>
        <w:rPr>
          <w:noProof/>
          <w:lang w:val="en-GB"/>
        </w:rPr>
        <w:t>5]</w:t>
      </w:r>
      <w:r w:rsidRPr="00BF493B">
        <w:rPr>
          <w:noProof/>
          <w:lang w:val="en-GB"/>
        </w:rPr>
        <w:t xml:space="preserve"> </w:t>
      </w:r>
      <w:r w:rsidR="00583B9A" w:rsidRPr="00583B9A">
        <w:rPr>
          <w:noProof/>
          <w:lang w:val="en-GB"/>
        </w:rPr>
        <w:t xml:space="preserve">Federal Ministry for Sustainability and Tourism, &amp; Federal Ministry for Transport Innovation and Technology. </w:t>
      </w:r>
      <w:r w:rsidR="00583B9A" w:rsidRPr="00E43EBF">
        <w:rPr>
          <w:noProof/>
          <w:lang w:val="en-GB"/>
        </w:rPr>
        <w:t xml:space="preserve">(2018). </w:t>
      </w:r>
      <w:r w:rsidR="00583B9A" w:rsidRPr="00E43EBF">
        <w:rPr>
          <w:i/>
          <w:iCs/>
          <w:noProof/>
          <w:lang w:val="en-GB"/>
        </w:rPr>
        <w:t>#mission2030 Austrian Climate and Energy Strategy</w:t>
      </w:r>
      <w:r w:rsidR="00583B9A" w:rsidRPr="00E43EBF">
        <w:rPr>
          <w:noProof/>
          <w:lang w:val="en-GB"/>
        </w:rPr>
        <w:t>.</w:t>
      </w:r>
    </w:p>
    <w:p w14:paraId="7832DA85" w14:textId="5426B7EE" w:rsidR="00BF493B" w:rsidRPr="00BF493B" w:rsidRDefault="00BF493B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>
        <w:rPr>
          <w:noProof/>
          <w:lang w:val="en-GB"/>
        </w:rPr>
        <w:t xml:space="preserve">[6] </w:t>
      </w:r>
      <w:r w:rsidR="008F42F3">
        <w:rPr>
          <w:noProof/>
          <w:lang w:val="en-GB"/>
        </w:rPr>
        <w:t>F</w:t>
      </w:r>
      <w:r w:rsidR="008F42F3" w:rsidRPr="00BF493B">
        <w:rPr>
          <w:noProof/>
          <w:lang w:val="en-GB"/>
        </w:rPr>
        <w:t xml:space="preserve">igueiredo, E. (2009). One Rural, two Visions — Environmental Issues and Images on Rural Areas in Portugal. </w:t>
      </w:r>
      <w:r w:rsidR="008F42F3" w:rsidRPr="00BF493B">
        <w:rPr>
          <w:i/>
          <w:iCs/>
          <w:noProof/>
          <w:lang w:val="en-GB"/>
        </w:rPr>
        <w:t>European Countryside</w:t>
      </w:r>
      <w:r w:rsidR="008F42F3" w:rsidRPr="00BF493B">
        <w:rPr>
          <w:noProof/>
          <w:lang w:val="en-GB"/>
        </w:rPr>
        <w:t xml:space="preserve">, </w:t>
      </w:r>
      <w:r w:rsidR="008F42F3" w:rsidRPr="00BF493B">
        <w:rPr>
          <w:i/>
          <w:iCs/>
          <w:noProof/>
          <w:lang w:val="en-GB"/>
        </w:rPr>
        <w:t>1</w:t>
      </w:r>
      <w:r w:rsidR="008F42F3" w:rsidRPr="00BF493B">
        <w:rPr>
          <w:noProof/>
          <w:lang w:val="en-GB"/>
        </w:rPr>
        <w:t xml:space="preserve">, 9–21. </w:t>
      </w:r>
      <w:hyperlink r:id="rId11" w:history="1">
        <w:r w:rsidR="00583B9A" w:rsidRPr="005B1DCA">
          <w:rPr>
            <w:rStyle w:val="Hyperlink"/>
            <w:noProof/>
            <w:lang w:val="en-GB"/>
          </w:rPr>
          <w:t>https://doi.org/10.2478/v10091-009-0002-8</w:t>
        </w:r>
      </w:hyperlink>
      <w:r w:rsidR="00583B9A">
        <w:rPr>
          <w:noProof/>
          <w:lang w:val="en-GB"/>
        </w:rPr>
        <w:t xml:space="preserve"> </w:t>
      </w:r>
    </w:p>
    <w:p w14:paraId="650BB3E5" w14:textId="3925A61F" w:rsidR="00BF493B" w:rsidRPr="00E214A0" w:rsidRDefault="00BF493B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>
        <w:rPr>
          <w:noProof/>
          <w:lang w:val="en-GB"/>
        </w:rPr>
        <w:t xml:space="preserve">[7] </w:t>
      </w:r>
      <w:r w:rsidR="008F42F3" w:rsidRPr="00BF493B">
        <w:rPr>
          <w:noProof/>
          <w:lang w:val="en-GB"/>
        </w:rPr>
        <w:t xml:space="preserve">Frantál, B., &amp; Kunc, J. (2011). Wind turbines in tourism landscapes: Czech Experience. </w:t>
      </w:r>
      <w:r w:rsidR="008F42F3" w:rsidRPr="00BF493B">
        <w:rPr>
          <w:i/>
          <w:iCs/>
          <w:noProof/>
          <w:lang w:val="en-GB"/>
        </w:rPr>
        <w:t>Annals of Tourism Research</w:t>
      </w:r>
      <w:r w:rsidR="008F42F3" w:rsidRPr="00BF493B">
        <w:rPr>
          <w:noProof/>
          <w:lang w:val="en-GB"/>
        </w:rPr>
        <w:t xml:space="preserve">, </w:t>
      </w:r>
      <w:r w:rsidR="008F42F3" w:rsidRPr="00BF493B">
        <w:rPr>
          <w:i/>
          <w:iCs/>
          <w:noProof/>
          <w:lang w:val="en-GB"/>
        </w:rPr>
        <w:t>38</w:t>
      </w:r>
      <w:r w:rsidR="008F42F3" w:rsidRPr="00BF493B">
        <w:rPr>
          <w:noProof/>
          <w:lang w:val="en-GB"/>
        </w:rPr>
        <w:t xml:space="preserve">(2), 499–519. </w:t>
      </w:r>
      <w:hyperlink r:id="rId12" w:history="1">
        <w:r w:rsidR="00583B9A" w:rsidRPr="005B1DCA">
          <w:rPr>
            <w:rStyle w:val="Hyperlink"/>
            <w:noProof/>
            <w:lang w:val="en-GB"/>
          </w:rPr>
          <w:t>https://doi.org/10.1016/j.annals.2010.10.007</w:t>
        </w:r>
      </w:hyperlink>
      <w:r w:rsidR="00583B9A">
        <w:rPr>
          <w:noProof/>
          <w:lang w:val="en-GB"/>
        </w:rPr>
        <w:t xml:space="preserve"> </w:t>
      </w:r>
    </w:p>
    <w:p w14:paraId="3E9417D8" w14:textId="3E324A69" w:rsidR="00BF493B" w:rsidRDefault="00BF493B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>
        <w:rPr>
          <w:noProof/>
          <w:lang w:val="en-GB"/>
        </w:rPr>
        <w:t>[8]</w:t>
      </w:r>
      <w:r w:rsidR="00E214A0" w:rsidRPr="00E214A0">
        <w:rPr>
          <w:noProof/>
          <w:lang w:val="en-GB"/>
        </w:rPr>
        <w:t xml:space="preserve"> </w:t>
      </w:r>
      <w:r w:rsidR="008F42F3" w:rsidRPr="00E214A0">
        <w:rPr>
          <w:noProof/>
          <w:lang w:val="en-GB"/>
        </w:rPr>
        <w:t xml:space="preserve">Frochot, I. (2005). A benefit segmentation of tourists in rural areas: A Scottish perspective. </w:t>
      </w:r>
      <w:r w:rsidR="008F42F3" w:rsidRPr="00E214A0">
        <w:rPr>
          <w:i/>
          <w:iCs/>
          <w:noProof/>
          <w:lang w:val="en-GB"/>
        </w:rPr>
        <w:t>Tourism Management</w:t>
      </w:r>
      <w:r w:rsidR="008F42F3" w:rsidRPr="00E214A0">
        <w:rPr>
          <w:noProof/>
          <w:lang w:val="en-GB"/>
        </w:rPr>
        <w:t xml:space="preserve">, </w:t>
      </w:r>
      <w:r w:rsidR="008F42F3" w:rsidRPr="00E214A0">
        <w:rPr>
          <w:i/>
          <w:iCs/>
          <w:noProof/>
          <w:lang w:val="en-GB"/>
        </w:rPr>
        <w:t>26</w:t>
      </w:r>
      <w:r w:rsidR="008F42F3" w:rsidRPr="00E214A0">
        <w:rPr>
          <w:noProof/>
          <w:lang w:val="en-GB"/>
        </w:rPr>
        <w:t xml:space="preserve">, 335–346. </w:t>
      </w:r>
      <w:hyperlink r:id="rId13" w:history="1">
        <w:r w:rsidR="00583B9A" w:rsidRPr="005B1DCA">
          <w:rPr>
            <w:rStyle w:val="Hyperlink"/>
            <w:noProof/>
            <w:lang w:val="en-GB"/>
          </w:rPr>
          <w:t>https://doi.org/10.1016/j.tourman.2003.11.016</w:t>
        </w:r>
      </w:hyperlink>
      <w:r w:rsidR="00583B9A">
        <w:rPr>
          <w:noProof/>
          <w:lang w:val="en-GB"/>
        </w:rPr>
        <w:t xml:space="preserve"> </w:t>
      </w:r>
    </w:p>
    <w:p w14:paraId="23D8796E" w14:textId="0F115322" w:rsidR="00E214A0" w:rsidRPr="00583B9A" w:rsidRDefault="00E214A0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>
        <w:rPr>
          <w:noProof/>
          <w:lang w:val="en-GB"/>
        </w:rPr>
        <w:t xml:space="preserve">[9] </w:t>
      </w:r>
      <w:r w:rsidR="008F42F3" w:rsidRPr="00E214A0">
        <w:rPr>
          <w:noProof/>
          <w:lang w:val="en-GB"/>
        </w:rPr>
        <w:t xml:space="preserve">Jobert, A., Laborgne, P., &amp; Mimler, S. (2007). Local acceptance of wind energy: Factors of success identified in French and German case studies. </w:t>
      </w:r>
      <w:r w:rsidR="008F42F3" w:rsidRPr="00E214A0">
        <w:rPr>
          <w:i/>
          <w:iCs/>
          <w:noProof/>
          <w:lang w:val="en-GB"/>
        </w:rPr>
        <w:t>Energy Policy</w:t>
      </w:r>
      <w:r w:rsidR="008F42F3" w:rsidRPr="00E214A0">
        <w:rPr>
          <w:noProof/>
          <w:lang w:val="en-GB"/>
        </w:rPr>
        <w:t xml:space="preserve">, </w:t>
      </w:r>
      <w:r w:rsidR="008F42F3" w:rsidRPr="00E214A0">
        <w:rPr>
          <w:i/>
          <w:iCs/>
          <w:noProof/>
          <w:lang w:val="en-GB"/>
        </w:rPr>
        <w:t>35</w:t>
      </w:r>
      <w:r w:rsidR="008F42F3" w:rsidRPr="00E214A0">
        <w:rPr>
          <w:noProof/>
          <w:lang w:val="en-GB"/>
        </w:rPr>
        <w:t xml:space="preserve">(5), 2751–2760. </w:t>
      </w:r>
      <w:hyperlink r:id="rId14" w:history="1">
        <w:r w:rsidR="008F42F3" w:rsidRPr="00583B9A">
          <w:rPr>
            <w:rStyle w:val="Hyperlink"/>
            <w:noProof/>
            <w:lang w:val="en-GB"/>
          </w:rPr>
          <w:t>https://doi.org/10.1016/j.enpol.2006.12.005</w:t>
        </w:r>
      </w:hyperlink>
    </w:p>
    <w:p w14:paraId="0905FFA1" w14:textId="2CDFEB34" w:rsidR="00E214A0" w:rsidRPr="00583B9A" w:rsidRDefault="00E214A0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>
        <w:rPr>
          <w:noProof/>
          <w:lang w:val="en-GB"/>
        </w:rPr>
        <w:t xml:space="preserve">[10] </w:t>
      </w:r>
      <w:r w:rsidR="008F42F3" w:rsidRPr="00BF493B">
        <w:rPr>
          <w:noProof/>
          <w:lang w:val="en-GB"/>
        </w:rPr>
        <w:t xml:space="preserve">Phadke, R. (2011). Resisting and Reconciling Big Wind: Middle Landscape Politics in the New American West. </w:t>
      </w:r>
      <w:r w:rsidR="008F42F3" w:rsidRPr="00E214A0">
        <w:rPr>
          <w:i/>
          <w:iCs/>
          <w:noProof/>
          <w:lang w:val="en-GB"/>
        </w:rPr>
        <w:t>Antipode</w:t>
      </w:r>
      <w:r w:rsidR="008F42F3" w:rsidRPr="00E214A0">
        <w:rPr>
          <w:noProof/>
          <w:lang w:val="en-GB"/>
        </w:rPr>
        <w:t xml:space="preserve">, </w:t>
      </w:r>
      <w:r w:rsidR="008F42F3" w:rsidRPr="00E214A0">
        <w:rPr>
          <w:i/>
          <w:iCs/>
          <w:noProof/>
          <w:lang w:val="en-GB"/>
        </w:rPr>
        <w:t>43</w:t>
      </w:r>
      <w:r w:rsidR="008F42F3" w:rsidRPr="00E214A0">
        <w:rPr>
          <w:noProof/>
          <w:lang w:val="en-GB"/>
        </w:rPr>
        <w:t xml:space="preserve">(3), 754–776. </w:t>
      </w:r>
      <w:hyperlink r:id="rId15" w:history="1">
        <w:r w:rsidR="00583B9A" w:rsidRPr="005B1DCA">
          <w:rPr>
            <w:rStyle w:val="Hyperlink"/>
            <w:noProof/>
            <w:lang w:val="en-GB"/>
          </w:rPr>
          <w:t>https://doi.org/10.1111/j.1467-8330.2011.00881.x</w:t>
        </w:r>
      </w:hyperlink>
      <w:r w:rsidR="00583B9A">
        <w:rPr>
          <w:noProof/>
          <w:lang w:val="en-GB"/>
        </w:rPr>
        <w:t xml:space="preserve"> </w:t>
      </w:r>
    </w:p>
    <w:p w14:paraId="084E2B74" w14:textId="2C03FFC1" w:rsidR="00557720" w:rsidRPr="00557720" w:rsidRDefault="00E214A0" w:rsidP="00557720">
      <w:pPr>
        <w:widowControl w:val="0"/>
        <w:autoSpaceDE w:val="0"/>
        <w:autoSpaceDN w:val="0"/>
        <w:adjustRightInd w:val="0"/>
        <w:ind w:left="482" w:hanging="482"/>
        <w:rPr>
          <w:noProof/>
          <w:lang w:val="en-GB"/>
        </w:rPr>
      </w:pPr>
      <w:r w:rsidRPr="00557720">
        <w:rPr>
          <w:noProof/>
          <w:lang w:val="en-GB"/>
        </w:rPr>
        <w:t xml:space="preserve">[11] </w:t>
      </w:r>
      <w:r w:rsidR="00557720" w:rsidRPr="00557720">
        <w:rPr>
          <w:noProof/>
          <w:lang w:val="en-GB"/>
        </w:rPr>
        <w:t xml:space="preserve">Sharpton, T., Lawrence, T., &amp; Hall, M. (2020). Drivers and barriers to public acceptance of future energy sources and grid expansion in the United States. </w:t>
      </w:r>
      <w:r w:rsidR="00557720" w:rsidRPr="00557720">
        <w:rPr>
          <w:i/>
          <w:iCs/>
          <w:noProof/>
          <w:lang w:val="en-GB"/>
        </w:rPr>
        <w:t>Renewable and Sustainable Energy Reviews</w:t>
      </w:r>
      <w:r w:rsidR="00557720" w:rsidRPr="00557720">
        <w:rPr>
          <w:noProof/>
          <w:lang w:val="en-GB"/>
        </w:rPr>
        <w:t xml:space="preserve">, </w:t>
      </w:r>
      <w:r w:rsidR="00557720" w:rsidRPr="00557720">
        <w:rPr>
          <w:i/>
          <w:iCs/>
          <w:noProof/>
          <w:lang w:val="en-GB"/>
        </w:rPr>
        <w:t>126</w:t>
      </w:r>
      <w:r w:rsidR="00557720" w:rsidRPr="00557720">
        <w:rPr>
          <w:noProof/>
          <w:lang w:val="en-GB"/>
        </w:rPr>
        <w:t xml:space="preserve">, 109826. </w:t>
      </w:r>
      <w:hyperlink r:id="rId16" w:history="1">
        <w:r w:rsidR="00583B9A" w:rsidRPr="005B1DCA">
          <w:rPr>
            <w:rStyle w:val="Hyperlink"/>
            <w:noProof/>
            <w:lang w:val="en-GB"/>
          </w:rPr>
          <w:t>https://doi.org/10.1016/j.rser.2020.109826</w:t>
        </w:r>
      </w:hyperlink>
      <w:r w:rsidR="00583B9A">
        <w:rPr>
          <w:noProof/>
          <w:lang w:val="en-GB"/>
        </w:rPr>
        <w:t xml:space="preserve"> </w:t>
      </w:r>
    </w:p>
    <w:p w14:paraId="2F0AA4E8" w14:textId="7C1E55FB" w:rsidR="00E214A0" w:rsidRPr="00E43EBF" w:rsidRDefault="00557720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de-AT"/>
        </w:rPr>
      </w:pPr>
      <w:r w:rsidRPr="00557720">
        <w:rPr>
          <w:noProof/>
          <w:lang w:val="en-GB"/>
        </w:rPr>
        <w:t xml:space="preserve">[12] </w:t>
      </w:r>
      <w:r w:rsidR="00E214A0" w:rsidRPr="00557720">
        <w:rPr>
          <w:noProof/>
          <w:lang w:val="en-GB"/>
        </w:rPr>
        <w:t xml:space="preserve">Sovacool, B. K., Ryan, S. E., Stern, P. C., Janda, K., Rochlin, G., Spreng, D., Pasqualetti, M. J., Wilhite, H., &amp; Lutzenhiser, L. (2015). </w:t>
      </w:r>
      <w:r w:rsidR="00E214A0" w:rsidRPr="00E214A0">
        <w:rPr>
          <w:noProof/>
          <w:lang w:val="en-GB"/>
        </w:rPr>
        <w:t xml:space="preserve">Integrating social science in energy research. </w:t>
      </w:r>
      <w:r w:rsidR="00E214A0" w:rsidRPr="00E214A0">
        <w:rPr>
          <w:i/>
          <w:iCs/>
          <w:noProof/>
          <w:lang w:val="en-GB"/>
        </w:rPr>
        <w:t>Energy Research &amp; Social Science</w:t>
      </w:r>
      <w:r w:rsidR="00E214A0" w:rsidRPr="00E214A0">
        <w:rPr>
          <w:noProof/>
          <w:lang w:val="en-GB"/>
        </w:rPr>
        <w:t xml:space="preserve">, </w:t>
      </w:r>
      <w:r w:rsidR="00E214A0" w:rsidRPr="00E214A0">
        <w:rPr>
          <w:i/>
          <w:iCs/>
          <w:noProof/>
          <w:lang w:val="en-GB"/>
        </w:rPr>
        <w:t>6</w:t>
      </w:r>
      <w:r w:rsidR="00E214A0" w:rsidRPr="00E214A0">
        <w:rPr>
          <w:noProof/>
          <w:lang w:val="en-GB"/>
        </w:rPr>
        <w:t xml:space="preserve">, 95–99. </w:t>
      </w:r>
      <w:hyperlink r:id="rId17" w:history="1">
        <w:r w:rsidR="00583B9A" w:rsidRPr="00E43EBF">
          <w:rPr>
            <w:rStyle w:val="Hyperlink"/>
            <w:noProof/>
            <w:lang w:val="de-AT"/>
          </w:rPr>
          <w:t>https://doi.org/10.1016/j.erss.2014.12.005</w:t>
        </w:r>
      </w:hyperlink>
      <w:r w:rsidR="00583B9A" w:rsidRPr="00E43EBF">
        <w:rPr>
          <w:noProof/>
          <w:lang w:val="de-AT"/>
        </w:rPr>
        <w:t xml:space="preserve"> </w:t>
      </w:r>
    </w:p>
    <w:p w14:paraId="49562DB3" w14:textId="401465CE" w:rsidR="00E214A0" w:rsidRPr="00E214A0" w:rsidRDefault="00557720" w:rsidP="00E214A0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E214A0">
        <w:rPr>
          <w:noProof/>
          <w:lang w:val="de-AT"/>
        </w:rPr>
        <w:t>[13]</w:t>
      </w:r>
      <w:r w:rsidRPr="00E214A0">
        <w:rPr>
          <w:noProof/>
        </w:rPr>
        <w:t xml:space="preserve"> </w:t>
      </w:r>
      <w:r w:rsidR="00E214A0" w:rsidRPr="00CB7A4F">
        <w:rPr>
          <w:noProof/>
        </w:rPr>
        <w:t xml:space="preserve">Upreti, B. R., &amp; Van Der Horst, D. (2004). </w:t>
      </w:r>
      <w:r w:rsidR="00E214A0" w:rsidRPr="00E214A0">
        <w:rPr>
          <w:noProof/>
          <w:lang w:val="en-GB"/>
        </w:rPr>
        <w:t xml:space="preserve">National renewable energy policy and local opposition in the UK: The failed development of a biomass electricity plant. </w:t>
      </w:r>
      <w:r w:rsidR="00E214A0" w:rsidRPr="00E214A0">
        <w:rPr>
          <w:i/>
          <w:iCs/>
          <w:noProof/>
          <w:lang w:val="en-GB"/>
        </w:rPr>
        <w:t>Biomass and Bioenergy</w:t>
      </w:r>
      <w:r w:rsidR="00E214A0" w:rsidRPr="00E214A0">
        <w:rPr>
          <w:noProof/>
          <w:lang w:val="en-GB"/>
        </w:rPr>
        <w:t xml:space="preserve">, </w:t>
      </w:r>
      <w:r w:rsidR="00E214A0" w:rsidRPr="00E214A0">
        <w:rPr>
          <w:i/>
          <w:iCs/>
          <w:noProof/>
          <w:lang w:val="en-GB"/>
        </w:rPr>
        <w:t>26</w:t>
      </w:r>
      <w:r w:rsidR="00E214A0" w:rsidRPr="00E214A0">
        <w:rPr>
          <w:noProof/>
          <w:lang w:val="en-GB"/>
        </w:rPr>
        <w:t xml:space="preserve">(1), 61–69. </w:t>
      </w:r>
      <w:hyperlink r:id="rId18" w:history="1">
        <w:r w:rsidR="00583B9A" w:rsidRPr="005B1DCA">
          <w:rPr>
            <w:rStyle w:val="Hyperlink"/>
            <w:noProof/>
            <w:lang w:val="en-GB"/>
          </w:rPr>
          <w:t>https://doi.org/10.1016/S0961-9534(03)00099-0</w:t>
        </w:r>
      </w:hyperlink>
      <w:r w:rsidR="00583B9A">
        <w:rPr>
          <w:noProof/>
          <w:lang w:val="en-GB"/>
        </w:rPr>
        <w:t xml:space="preserve"> </w:t>
      </w:r>
    </w:p>
    <w:p w14:paraId="1C69065D" w14:textId="2B131263" w:rsidR="00E214A0" w:rsidRPr="00CB7A4F" w:rsidRDefault="00557720" w:rsidP="00E214A0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583B9A">
        <w:rPr>
          <w:noProof/>
          <w:lang w:val="en-GB"/>
        </w:rPr>
        <w:t xml:space="preserve">[14] </w:t>
      </w:r>
      <w:r w:rsidR="00E214A0" w:rsidRPr="00583B9A">
        <w:rPr>
          <w:noProof/>
          <w:lang w:val="en-GB"/>
        </w:rPr>
        <w:t xml:space="preserve">Wüstenhagen, R., Wolsink, M., &amp; Bürer, M. J. (2007). </w:t>
      </w:r>
      <w:r w:rsidR="00E214A0" w:rsidRPr="00E214A0">
        <w:rPr>
          <w:noProof/>
          <w:lang w:val="en-GB"/>
        </w:rPr>
        <w:t xml:space="preserve">Social acceptance of renewable energy innovation: An introduction to the concept. </w:t>
      </w:r>
      <w:r w:rsidR="00E214A0" w:rsidRPr="00CB7A4F">
        <w:rPr>
          <w:i/>
          <w:iCs/>
          <w:noProof/>
        </w:rPr>
        <w:t>Energy Policy</w:t>
      </w:r>
      <w:r w:rsidR="00E214A0" w:rsidRPr="00CB7A4F">
        <w:rPr>
          <w:noProof/>
        </w:rPr>
        <w:t xml:space="preserve">, </w:t>
      </w:r>
      <w:r w:rsidR="00E214A0" w:rsidRPr="00CB7A4F">
        <w:rPr>
          <w:i/>
          <w:iCs/>
          <w:noProof/>
        </w:rPr>
        <w:t>35</w:t>
      </w:r>
      <w:r w:rsidR="00E214A0" w:rsidRPr="00CB7A4F">
        <w:rPr>
          <w:noProof/>
        </w:rPr>
        <w:t xml:space="preserve">(5), 2683–2691. </w:t>
      </w:r>
      <w:hyperlink r:id="rId19" w:history="1">
        <w:r w:rsidR="00583B9A" w:rsidRPr="005B1DCA">
          <w:rPr>
            <w:rStyle w:val="Hyperlink"/>
            <w:noProof/>
          </w:rPr>
          <w:t>https://doi.org/10.1016/j.enpol.2006.12.001</w:t>
        </w:r>
      </w:hyperlink>
      <w:r w:rsidR="00583B9A">
        <w:rPr>
          <w:noProof/>
        </w:rPr>
        <w:t xml:space="preserve"> </w:t>
      </w:r>
    </w:p>
    <w:p w14:paraId="157E48D8" w14:textId="3BB133CE" w:rsidR="00E6525D" w:rsidRPr="00E6525D" w:rsidRDefault="00E6525D" w:rsidP="00E6525D">
      <w:pPr>
        <w:pStyle w:val="Literatur"/>
        <w:ind w:left="0" w:firstLine="0"/>
        <w:rPr>
          <w:lang w:val="de-AT"/>
        </w:rPr>
      </w:pPr>
    </w:p>
    <w:p w14:paraId="68AAF16B" w14:textId="144ED352" w:rsidR="005E4D4F" w:rsidRPr="00E6525D" w:rsidRDefault="005E4D4F" w:rsidP="00227125">
      <w:pPr>
        <w:pStyle w:val="Literatur"/>
        <w:rPr>
          <w:lang w:val="de-AT"/>
        </w:rPr>
      </w:pPr>
    </w:p>
    <w:p w14:paraId="2F0DAADC" w14:textId="1536A7F8" w:rsidR="00564569" w:rsidRPr="00E6525D" w:rsidRDefault="00564569" w:rsidP="00227125">
      <w:pPr>
        <w:pStyle w:val="Literatur"/>
        <w:rPr>
          <w:lang w:val="de-AT"/>
        </w:rPr>
      </w:pPr>
    </w:p>
    <w:p w14:paraId="24C120A5" w14:textId="77777777" w:rsidR="00564569" w:rsidRPr="00E6525D" w:rsidRDefault="00564569" w:rsidP="00227125">
      <w:pPr>
        <w:pStyle w:val="Literatur"/>
        <w:rPr>
          <w:lang w:val="de-AT"/>
        </w:rPr>
      </w:pPr>
    </w:p>
    <w:sectPr w:rsidR="00564569" w:rsidRPr="00E65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16E" w16cex:dateUtc="2022-11-22T13:55:00Z"/>
  <w16cex:commentExtensible w16cex:durableId="2727622F" w16cex:dateUtc="2022-11-22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401A" w14:textId="77777777" w:rsidR="001011C8" w:rsidRDefault="001011C8">
      <w:r>
        <w:separator/>
      </w:r>
    </w:p>
  </w:endnote>
  <w:endnote w:type="continuationSeparator" w:id="0">
    <w:p w14:paraId="2F5336D7" w14:textId="77777777" w:rsidR="001011C8" w:rsidRDefault="0010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ED4E" w14:textId="77777777" w:rsidR="001011C8" w:rsidRDefault="001011C8">
      <w:r>
        <w:separator/>
      </w:r>
    </w:p>
  </w:footnote>
  <w:footnote w:type="continuationSeparator" w:id="0">
    <w:p w14:paraId="1951405B" w14:textId="77777777" w:rsidR="001011C8" w:rsidRDefault="001011C8">
      <w:r>
        <w:continuationSeparator/>
      </w:r>
    </w:p>
  </w:footnote>
  <w:footnote w:id="1">
    <w:p w14:paraId="1DD27DBA" w14:textId="567B9B46" w:rsidR="00D53E86" w:rsidRPr="008135F5" w:rsidRDefault="00D53E86" w:rsidP="008135F5">
      <w:pPr>
        <w:rPr>
          <w:rFonts w:cs="Arial"/>
          <w:szCs w:val="20"/>
        </w:rPr>
      </w:pPr>
      <w:r w:rsidRPr="00A115D2">
        <w:rPr>
          <w:rStyle w:val="Funotenzeichen"/>
        </w:rPr>
        <w:footnoteRef/>
      </w:r>
      <w:r w:rsidRPr="00D53E86">
        <w:t xml:space="preserve"> </w:t>
      </w:r>
      <w:r w:rsidR="008135F5" w:rsidRPr="008135F5">
        <w:rPr>
          <w:szCs w:val="20"/>
        </w:rPr>
        <w:t xml:space="preserve">Jungautorin: </w:t>
      </w:r>
      <w:r w:rsidR="008135F5" w:rsidRPr="008135F5">
        <w:rPr>
          <w:rFonts w:cs="Arial"/>
          <w:szCs w:val="20"/>
        </w:rPr>
        <w:t xml:space="preserve">Universität Klagenfurt, Universitätsstraße 65-67, 9020 Klagenfurt, +43 463 2700 4088, </w:t>
      </w:r>
      <w:hyperlink r:id="rId1" w:history="1">
        <w:r w:rsidR="008135F5" w:rsidRPr="008135F5">
          <w:rPr>
            <w:rStyle w:val="Hyperlink"/>
            <w:rFonts w:cs="Arial"/>
            <w:szCs w:val="20"/>
          </w:rPr>
          <w:t>veronika.dworzak@aau.at</w:t>
        </w:r>
      </w:hyperlink>
      <w:r w:rsidR="008135F5" w:rsidRPr="008135F5">
        <w:rPr>
          <w:rFonts w:cs="Arial"/>
          <w:szCs w:val="20"/>
        </w:rPr>
        <w:t xml:space="preserve"> </w:t>
      </w:r>
    </w:p>
  </w:footnote>
  <w:footnote w:id="2">
    <w:p w14:paraId="74D01A35" w14:textId="61F62E42" w:rsidR="008135F5" w:rsidRPr="008135F5" w:rsidRDefault="008135F5" w:rsidP="008135F5">
      <w:pPr>
        <w:rPr>
          <w:rFonts w:cs="Arial"/>
          <w:szCs w:val="20"/>
        </w:rPr>
      </w:pPr>
      <w:r w:rsidRPr="008135F5">
        <w:rPr>
          <w:rStyle w:val="Funotenzeichen"/>
          <w:rFonts w:cs="Arial"/>
          <w:szCs w:val="20"/>
          <w:lang w:val="en-US"/>
        </w:rPr>
        <w:footnoteRef/>
      </w:r>
      <w:r w:rsidRPr="008135F5">
        <w:rPr>
          <w:rFonts w:cs="Arial"/>
          <w:szCs w:val="20"/>
        </w:rPr>
        <w:t xml:space="preserve"> Universität Klagenfurt, Universitätsstraße 65-67, 9020 Klagenfurt, </w:t>
      </w:r>
      <w:hyperlink r:id="rId2" w:history="1">
        <w:r w:rsidRPr="008135F5">
          <w:rPr>
            <w:rStyle w:val="Hyperlink"/>
            <w:rFonts w:cs="Arial"/>
            <w:szCs w:val="20"/>
          </w:rPr>
          <w:t>robert.sposato@aau.at</w:t>
        </w:r>
      </w:hyperlink>
      <w:r w:rsidRPr="008135F5">
        <w:rPr>
          <w:rFonts w:cs="Arial"/>
          <w:szCs w:val="20"/>
        </w:rPr>
        <w:t xml:space="preserve"> </w:t>
      </w:r>
    </w:p>
    <w:p w14:paraId="654AC296" w14:textId="0C019DD5" w:rsidR="008135F5" w:rsidRPr="00866A63" w:rsidRDefault="008135F5" w:rsidP="008135F5">
      <w:pPr>
        <w:rPr>
          <w:rFonts w:cs="Arial"/>
          <w:sz w:val="18"/>
          <w:szCs w:val="18"/>
        </w:rPr>
      </w:pPr>
      <w:r w:rsidRPr="008135F5">
        <w:rPr>
          <w:rStyle w:val="Funotenzeichen"/>
          <w:szCs w:val="20"/>
          <w:lang w:val="de-AT"/>
        </w:rPr>
        <w:t xml:space="preserve">3 </w:t>
      </w:r>
      <w:r w:rsidRPr="008135F5">
        <w:rPr>
          <w:rFonts w:cs="Arial"/>
          <w:szCs w:val="20"/>
        </w:rPr>
        <w:t xml:space="preserve">Wirtschaftsuniversität Wien, Welthandelsplatz 1, 1020 Wien, +43 1 31336 4864, </w:t>
      </w:r>
      <w:hyperlink r:id="rId3" w:history="1">
        <w:r w:rsidRPr="008135F5">
          <w:rPr>
            <w:rStyle w:val="Hyperlink"/>
            <w:rFonts w:cs="Arial"/>
            <w:szCs w:val="20"/>
            <w:lang w:val="de-AT"/>
          </w:rPr>
          <w:t>nina.hampl@wu.ac.at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170"/>
    <w:multiLevelType w:val="hybridMultilevel"/>
    <w:tmpl w:val="26F60F1E"/>
    <w:lvl w:ilvl="0" w:tplc="3DC64522">
      <w:start w:val="1"/>
      <w:numFmt w:val="decimal"/>
      <w:lvlText w:val="%1."/>
      <w:lvlJc w:val="left"/>
      <w:pPr>
        <w:ind w:left="661" w:hanging="360"/>
      </w:pPr>
      <w:rPr>
        <w:rFonts w:hint="default"/>
        <w:color w:val="auto"/>
        <w:lang w:val="ru-RU"/>
      </w:rPr>
    </w:lvl>
    <w:lvl w:ilvl="1" w:tplc="0C070019" w:tentative="1">
      <w:start w:val="1"/>
      <w:numFmt w:val="lowerLetter"/>
      <w:lvlText w:val="%2."/>
      <w:lvlJc w:val="left"/>
      <w:pPr>
        <w:ind w:left="1381" w:hanging="360"/>
      </w:pPr>
    </w:lvl>
    <w:lvl w:ilvl="2" w:tplc="0C07001B" w:tentative="1">
      <w:start w:val="1"/>
      <w:numFmt w:val="lowerRoman"/>
      <w:lvlText w:val="%3."/>
      <w:lvlJc w:val="right"/>
      <w:pPr>
        <w:ind w:left="2101" w:hanging="180"/>
      </w:pPr>
    </w:lvl>
    <w:lvl w:ilvl="3" w:tplc="0C07000F" w:tentative="1">
      <w:start w:val="1"/>
      <w:numFmt w:val="decimal"/>
      <w:lvlText w:val="%4."/>
      <w:lvlJc w:val="left"/>
      <w:pPr>
        <w:ind w:left="2821" w:hanging="360"/>
      </w:pPr>
    </w:lvl>
    <w:lvl w:ilvl="4" w:tplc="0C070019" w:tentative="1">
      <w:start w:val="1"/>
      <w:numFmt w:val="lowerLetter"/>
      <w:lvlText w:val="%5."/>
      <w:lvlJc w:val="left"/>
      <w:pPr>
        <w:ind w:left="3541" w:hanging="360"/>
      </w:pPr>
    </w:lvl>
    <w:lvl w:ilvl="5" w:tplc="0C07001B" w:tentative="1">
      <w:start w:val="1"/>
      <w:numFmt w:val="lowerRoman"/>
      <w:lvlText w:val="%6."/>
      <w:lvlJc w:val="right"/>
      <w:pPr>
        <w:ind w:left="4261" w:hanging="180"/>
      </w:pPr>
    </w:lvl>
    <w:lvl w:ilvl="6" w:tplc="0C07000F" w:tentative="1">
      <w:start w:val="1"/>
      <w:numFmt w:val="decimal"/>
      <w:lvlText w:val="%7."/>
      <w:lvlJc w:val="left"/>
      <w:pPr>
        <w:ind w:left="4981" w:hanging="360"/>
      </w:pPr>
    </w:lvl>
    <w:lvl w:ilvl="7" w:tplc="0C070019" w:tentative="1">
      <w:start w:val="1"/>
      <w:numFmt w:val="lowerLetter"/>
      <w:lvlText w:val="%8."/>
      <w:lvlJc w:val="left"/>
      <w:pPr>
        <w:ind w:left="5701" w:hanging="360"/>
      </w:pPr>
    </w:lvl>
    <w:lvl w:ilvl="8" w:tplc="0C07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0CD5071F"/>
    <w:multiLevelType w:val="multilevel"/>
    <w:tmpl w:val="0978BA90"/>
    <w:numStyleLink w:val="Aufzhlung"/>
  </w:abstractNum>
  <w:abstractNum w:abstractNumId="2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265B6"/>
    <w:rsid w:val="00070652"/>
    <w:rsid w:val="001011C8"/>
    <w:rsid w:val="001103B7"/>
    <w:rsid w:val="00167EDA"/>
    <w:rsid w:val="001B23A9"/>
    <w:rsid w:val="001C2DFD"/>
    <w:rsid w:val="002014D3"/>
    <w:rsid w:val="00227125"/>
    <w:rsid w:val="00246817"/>
    <w:rsid w:val="00262FD5"/>
    <w:rsid w:val="002656F6"/>
    <w:rsid w:val="002946B8"/>
    <w:rsid w:val="002948A1"/>
    <w:rsid w:val="002C757E"/>
    <w:rsid w:val="00335E63"/>
    <w:rsid w:val="003476A1"/>
    <w:rsid w:val="00350F98"/>
    <w:rsid w:val="00365037"/>
    <w:rsid w:val="00372D53"/>
    <w:rsid w:val="0038132E"/>
    <w:rsid w:val="003973EF"/>
    <w:rsid w:val="003B676F"/>
    <w:rsid w:val="003C28FE"/>
    <w:rsid w:val="003C6AC5"/>
    <w:rsid w:val="003F698D"/>
    <w:rsid w:val="00483B87"/>
    <w:rsid w:val="0048512A"/>
    <w:rsid w:val="00493E06"/>
    <w:rsid w:val="004C04F2"/>
    <w:rsid w:val="005340AF"/>
    <w:rsid w:val="00557720"/>
    <w:rsid w:val="00564569"/>
    <w:rsid w:val="00583B9A"/>
    <w:rsid w:val="005921A6"/>
    <w:rsid w:val="005B1ADB"/>
    <w:rsid w:val="005E4D4F"/>
    <w:rsid w:val="006408BF"/>
    <w:rsid w:val="006417EA"/>
    <w:rsid w:val="00676F16"/>
    <w:rsid w:val="006B1B70"/>
    <w:rsid w:val="007042D7"/>
    <w:rsid w:val="007223BF"/>
    <w:rsid w:val="007378C8"/>
    <w:rsid w:val="00741EC0"/>
    <w:rsid w:val="00792564"/>
    <w:rsid w:val="007A5940"/>
    <w:rsid w:val="007D1E7B"/>
    <w:rsid w:val="00803917"/>
    <w:rsid w:val="008135F5"/>
    <w:rsid w:val="00876E5D"/>
    <w:rsid w:val="00897FE3"/>
    <w:rsid w:val="008F42F3"/>
    <w:rsid w:val="00907ABC"/>
    <w:rsid w:val="009410D4"/>
    <w:rsid w:val="00974F22"/>
    <w:rsid w:val="009977A1"/>
    <w:rsid w:val="009E41D3"/>
    <w:rsid w:val="00A07737"/>
    <w:rsid w:val="00A156E4"/>
    <w:rsid w:val="00A6148D"/>
    <w:rsid w:val="00A90EF6"/>
    <w:rsid w:val="00AD4916"/>
    <w:rsid w:val="00AE45BD"/>
    <w:rsid w:val="00B10866"/>
    <w:rsid w:val="00B3438C"/>
    <w:rsid w:val="00B4398E"/>
    <w:rsid w:val="00BB2721"/>
    <w:rsid w:val="00BD115F"/>
    <w:rsid w:val="00BF05FA"/>
    <w:rsid w:val="00BF493B"/>
    <w:rsid w:val="00C0626B"/>
    <w:rsid w:val="00C639B4"/>
    <w:rsid w:val="00CB2205"/>
    <w:rsid w:val="00CC63E7"/>
    <w:rsid w:val="00CE1A70"/>
    <w:rsid w:val="00CF2F1E"/>
    <w:rsid w:val="00D22489"/>
    <w:rsid w:val="00D53E86"/>
    <w:rsid w:val="00D7290E"/>
    <w:rsid w:val="00D736F8"/>
    <w:rsid w:val="00D86434"/>
    <w:rsid w:val="00DB19AB"/>
    <w:rsid w:val="00E162E5"/>
    <w:rsid w:val="00E214A0"/>
    <w:rsid w:val="00E43EBF"/>
    <w:rsid w:val="00E520E6"/>
    <w:rsid w:val="00E6525D"/>
    <w:rsid w:val="00E7313F"/>
    <w:rsid w:val="00EA71E8"/>
    <w:rsid w:val="00EE53C8"/>
    <w:rsid w:val="00F722BA"/>
    <w:rsid w:val="00FB69AE"/>
    <w:rsid w:val="00FC2D0B"/>
    <w:rsid w:val="00FD5D5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paragraph" w:styleId="berschrift3">
    <w:name w:val="heading 3"/>
    <w:basedOn w:val="Standard"/>
    <w:link w:val="berschrift3Zchn"/>
    <w:uiPriority w:val="9"/>
    <w:qFormat/>
    <w:rsid w:val="008135F5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uiPriority w:val="99"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35F5"/>
    <w:rPr>
      <w:b/>
      <w:bCs/>
      <w:sz w:val="27"/>
      <w:szCs w:val="27"/>
      <w:lang w:val="de-AT" w:eastAsia="de-AT"/>
    </w:rPr>
  </w:style>
  <w:style w:type="character" w:styleId="Hyperlink">
    <w:name w:val="Hyperlink"/>
    <w:uiPriority w:val="99"/>
    <w:unhideWhenUsed/>
    <w:rsid w:val="008135F5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5F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qFormat/>
    <w:rsid w:val="00B10866"/>
    <w:pPr>
      <w:shd w:val="solid" w:color="FFFFFF" w:fill="auto"/>
      <w:spacing w:line="480" w:lineRule="auto"/>
      <w:ind w:firstLine="709"/>
    </w:pPr>
    <w:rPr>
      <w:rFonts w:ascii="Times New Roman" w:hAnsi="Times New Roman"/>
      <w:b/>
      <w:bCs/>
      <w:szCs w:val="20"/>
      <w:shd w:val="solid" w:color="FFFFFF" w:fill="auto"/>
      <w:lang w:val="ru-RU" w:eastAsia="ru-RU"/>
    </w:rPr>
  </w:style>
  <w:style w:type="table" w:styleId="Tabellenraster">
    <w:name w:val="Table Grid"/>
    <w:basedOn w:val="NormaleTabelle"/>
    <w:uiPriority w:val="39"/>
    <w:rsid w:val="00B10866"/>
    <w:pPr>
      <w:shd w:val="solid" w:color="FFFFFF" w:fill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6289,bqiaagaaexcpaaagew8aaaokfgaabzgwaaaaaaaaaaaaaaaaaaaaaaaaaaaaaaaaaaaaaaaaaaaaaaaaaaaaaaaaaaaaaaaaaaaaaaaaaaaaaaaaaaaaaaaaaaaaaaaaaaaaaaaaaaaaaaaaaaaaaaaaaaaaaaaaaaaaaaaaaaaaaaaaaaaaaaaaaaaaaaaaaaaaaaaaaaaaaaaaaaaaaaaaaaaaaaaaaaaaaaaa"/>
    <w:basedOn w:val="Absatz-Standardschriftart"/>
    <w:rsid w:val="00B10866"/>
  </w:style>
  <w:style w:type="paragraph" w:styleId="Textkrper">
    <w:name w:val="Body Text"/>
    <w:basedOn w:val="Standard"/>
    <w:link w:val="TextkrperZchn"/>
    <w:uiPriority w:val="99"/>
    <w:semiHidden/>
    <w:unhideWhenUsed/>
    <w:rsid w:val="00B108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10866"/>
    <w:rPr>
      <w:rFonts w:ascii="Arial" w:hAnsi="Arial"/>
      <w:szCs w:val="24"/>
      <w:lang w:val="de-DE" w:eastAsia="ko-KR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0866"/>
    <w:pPr>
      <w:shd w:val="solid" w:color="FFFFFF" w:fill="auto"/>
      <w:spacing w:after="0" w:line="480" w:lineRule="auto"/>
      <w:ind w:firstLine="360"/>
    </w:pPr>
    <w:rPr>
      <w:rFonts w:ascii="Times New Roman" w:hAnsi="Times New Roman"/>
      <w:sz w:val="24"/>
      <w:shd w:val="solid" w:color="FFFFFF" w:fill="auto"/>
      <w:lang w:val="ru-RU" w:eastAsia="ru-RU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0866"/>
    <w:rPr>
      <w:rFonts w:ascii="Arial" w:hAnsi="Arial"/>
      <w:sz w:val="24"/>
      <w:szCs w:val="24"/>
      <w:shd w:val="solid" w:color="FFFFFF" w:fill="auto"/>
      <w:lang w:val="ru-RU" w:eastAsia="ru-RU"/>
    </w:rPr>
  </w:style>
  <w:style w:type="character" w:styleId="BesuchterLink">
    <w:name w:val="FollowedHyperlink"/>
    <w:basedOn w:val="Absatz-Standardschriftart"/>
    <w:uiPriority w:val="99"/>
    <w:semiHidden/>
    <w:unhideWhenUsed/>
    <w:rsid w:val="00583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417EA"/>
    <w:rPr>
      <w:rFonts w:ascii="Arial" w:hAnsi="Arial"/>
      <w:szCs w:val="24"/>
      <w:lang w:val="de-DE" w:eastAsia="ko-K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1E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1E8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1E8"/>
    <w:rPr>
      <w:rFonts w:ascii="Arial" w:hAnsi="Arial"/>
      <w:b/>
      <w:bCs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E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.gv.at/PAKT/VHG/XXVII/ME/ME_00058/index.shtml" TargetMode="External"/><Relationship Id="rId13" Type="http://schemas.openxmlformats.org/officeDocument/2006/relationships/hyperlink" Target="https://doi.org/10.1016/j.tourman.2003.11.016" TargetMode="External"/><Relationship Id="rId18" Type="http://schemas.openxmlformats.org/officeDocument/2006/relationships/hyperlink" Target="https://doi.org/10.1016/S0961-9534(03)00099-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annals.2010.10.007" TargetMode="External"/><Relationship Id="rId17" Type="http://schemas.openxmlformats.org/officeDocument/2006/relationships/hyperlink" Target="https://doi.org/10.1016/j.erss.2014.12.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rser.2020.1098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478/v10091-009-0002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j.1467-8330.2011.00881.x" TargetMode="External"/><Relationship Id="rId10" Type="http://schemas.openxmlformats.org/officeDocument/2006/relationships/hyperlink" Target="https://doi.org/10.1080/09669582.2015.1008499" TargetMode="External"/><Relationship Id="rId19" Type="http://schemas.openxmlformats.org/officeDocument/2006/relationships/hyperlink" Target="https://doi.org/10.1016/j.enpol.2006.12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9644010500175833" TargetMode="External"/><Relationship Id="rId14" Type="http://schemas.openxmlformats.org/officeDocument/2006/relationships/hyperlink" Target="https://doi.org/10.1016/j.enpol.2006.12.005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ina.hampl@wu.ac.at" TargetMode="External"/><Relationship Id="rId2" Type="http://schemas.openxmlformats.org/officeDocument/2006/relationships/hyperlink" Target="mailto:robert.sposato@aau.at" TargetMode="External"/><Relationship Id="rId1" Type="http://schemas.openxmlformats.org/officeDocument/2006/relationships/hyperlink" Target="mailto:veronika.dworzak@aa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2A44-F85F-4233-B951-E2D2472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Dworzak, Veronika</cp:lastModifiedBy>
  <cp:revision>4</cp:revision>
  <dcterms:created xsi:type="dcterms:W3CDTF">2022-11-22T14:21:00Z</dcterms:created>
  <dcterms:modified xsi:type="dcterms:W3CDTF">2022-11-22T14:28:00Z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Unable to retrieve uuid - error: 0. Server error 'Connection refused'</vt:lpwstr>
  </property>
</Properties>
</file>