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0933" w14:textId="5703AC66" w:rsidR="005E4D4F" w:rsidRPr="00484AB3" w:rsidRDefault="00484AB3" w:rsidP="005E4D4F">
      <w:pPr>
        <w:pStyle w:val="Abstract-Titel"/>
        <w:rPr>
          <w:lang w:val="en-US"/>
        </w:rPr>
      </w:pPr>
      <w:r w:rsidRPr="00484AB3">
        <w:rPr>
          <w:lang w:val="en-US"/>
        </w:rPr>
        <w:t>Smart Microgrids as a</w:t>
      </w:r>
      <w:r>
        <w:rPr>
          <w:lang w:val="en-US"/>
        </w:rPr>
        <w:t xml:space="preserve"> Service: </w:t>
      </w:r>
      <w:r w:rsidR="00CA76B5">
        <w:rPr>
          <w:lang w:val="en-US"/>
        </w:rPr>
        <w:t xml:space="preserve">Development and Evaluation of User-Centric </w:t>
      </w:r>
      <w:r w:rsidR="000F3E68">
        <w:rPr>
          <w:lang w:val="en-US"/>
        </w:rPr>
        <w:t>Business Models for Energy Communities</w:t>
      </w:r>
    </w:p>
    <w:p w14:paraId="31B9D906" w14:textId="449539AE" w:rsidR="00BF05FA" w:rsidRDefault="00BF05FA" w:rsidP="00A156E4">
      <w:pPr>
        <w:pStyle w:val="AutorenOrganisation"/>
      </w:pPr>
      <w:r>
        <w:t>Themenbereich</w:t>
      </w:r>
      <w:r w:rsidR="00336006">
        <w:t xml:space="preserve">: </w:t>
      </w:r>
      <w:r w:rsidR="00336006" w:rsidRPr="00336006">
        <w:t>(4) Aktive Endkunden-</w:t>
      </w:r>
      <w:r w:rsidR="004768D7">
        <w:t xml:space="preserve"> </w:t>
      </w:r>
      <w:r w:rsidR="00336006" w:rsidRPr="00336006">
        <w:t>/</w:t>
      </w:r>
      <w:r w:rsidR="004768D7">
        <w:t xml:space="preserve"> </w:t>
      </w:r>
      <w:proofErr w:type="spellStart"/>
      <w:r w:rsidR="00336006" w:rsidRPr="00336006">
        <w:t>Prosumerpartizipation</w:t>
      </w:r>
      <w:proofErr w:type="spellEnd"/>
      <w:r w:rsidR="00336006" w:rsidRPr="00336006">
        <w:t xml:space="preserve"> &amp; Gebäudesektor</w:t>
      </w:r>
    </w:p>
    <w:p w14:paraId="41C77972" w14:textId="446CA09B" w:rsidR="005E4D4F" w:rsidRPr="005E4D4F" w:rsidRDefault="008D02B5" w:rsidP="00A156E4">
      <w:pPr>
        <w:pStyle w:val="AutorenOrganisation"/>
      </w:pPr>
      <w:r>
        <w:t>Saskia</w:t>
      </w:r>
      <w:r w:rsidR="005E4D4F" w:rsidRPr="005E4D4F">
        <w:t xml:space="preserve"> </w:t>
      </w:r>
      <w:r>
        <w:t>Bluhm</w:t>
      </w:r>
      <w:r w:rsidR="005E4D4F" w:rsidRPr="00010E92">
        <w:rPr>
          <w:vertAlign w:val="superscript"/>
        </w:rPr>
        <w:footnoteReference w:id="1"/>
      </w:r>
      <w:r w:rsidR="005E4D4F" w:rsidRPr="005E4D4F">
        <w:t xml:space="preserve">, </w:t>
      </w:r>
      <w:r>
        <w:t>Armin</w:t>
      </w:r>
      <w:r w:rsidR="00010E92" w:rsidRPr="005E4D4F">
        <w:t xml:space="preserve"> </w:t>
      </w:r>
      <w:r>
        <w:t>Golla, Sarah Henni, Christof Weinhardt</w:t>
      </w:r>
    </w:p>
    <w:p w14:paraId="1C8AE215" w14:textId="61092AA3" w:rsidR="005E4D4F" w:rsidRPr="00CF2661" w:rsidRDefault="008D02B5" w:rsidP="005E4D4F">
      <w:pPr>
        <w:pStyle w:val="AutorenOrganisation"/>
        <w:rPr>
          <w:lang w:val="en-US"/>
        </w:rPr>
      </w:pPr>
      <w:r w:rsidRPr="00CF2661">
        <w:rPr>
          <w:lang w:val="en-US"/>
        </w:rPr>
        <w:t>Karlsruhe Institute of Technology</w:t>
      </w:r>
    </w:p>
    <w:p w14:paraId="1710070A" w14:textId="77777777" w:rsidR="00A07737" w:rsidRPr="00CF2661" w:rsidRDefault="00A07737" w:rsidP="00FB69AE">
      <w:pPr>
        <w:rPr>
          <w:lang w:val="en-US"/>
        </w:rPr>
      </w:pPr>
    </w:p>
    <w:p w14:paraId="5CEAC214" w14:textId="45869BCC" w:rsidR="005E4D4F" w:rsidRPr="002B71D7" w:rsidRDefault="005E4D4F" w:rsidP="005E4D4F">
      <w:pPr>
        <w:pStyle w:val="Ueberschrift"/>
        <w:rPr>
          <w:lang w:val="en-US"/>
        </w:rPr>
      </w:pPr>
      <w:r w:rsidRPr="002B71D7">
        <w:rPr>
          <w:lang w:val="en-US"/>
        </w:rPr>
        <w:t xml:space="preserve">Motivation </w:t>
      </w:r>
      <w:r w:rsidR="00736BFB" w:rsidRPr="00736BFB">
        <w:rPr>
          <w:lang w:val="en-US"/>
        </w:rPr>
        <w:t>a</w:t>
      </w:r>
      <w:r w:rsidRPr="002B71D7">
        <w:rPr>
          <w:lang w:val="en-US"/>
        </w:rPr>
        <w:t xml:space="preserve">nd </w:t>
      </w:r>
      <w:r w:rsidR="00736BFB">
        <w:rPr>
          <w:lang w:val="en-US"/>
        </w:rPr>
        <w:t>C</w:t>
      </w:r>
      <w:r w:rsidR="00736BFB" w:rsidRPr="00736BFB">
        <w:rPr>
          <w:lang w:val="en-US"/>
        </w:rPr>
        <w:t>entral Question</w:t>
      </w:r>
    </w:p>
    <w:p w14:paraId="54AC2333" w14:textId="546C0F35" w:rsidR="008D02B5" w:rsidRDefault="004355CB" w:rsidP="009D2E43">
      <w:pPr>
        <w:rPr>
          <w:lang w:val="en-US"/>
        </w:rPr>
      </w:pPr>
      <w:r w:rsidRPr="004355CB">
        <w:rPr>
          <w:lang w:val="en-US"/>
        </w:rPr>
        <w:t>E</w:t>
      </w:r>
      <w:r w:rsidR="00146EC0">
        <w:rPr>
          <w:lang w:val="en-US"/>
        </w:rPr>
        <w:t xml:space="preserve">nergy communities, </w:t>
      </w:r>
      <w:r w:rsidR="009D2E43">
        <w:rPr>
          <w:lang w:val="en-US"/>
        </w:rPr>
        <w:t xml:space="preserve">in which </w:t>
      </w:r>
      <w:r w:rsidR="00146EC0">
        <w:rPr>
          <w:lang w:val="en-US"/>
        </w:rPr>
        <w:t xml:space="preserve">neighbors participate in </w:t>
      </w:r>
      <w:r>
        <w:rPr>
          <w:lang w:val="en-US"/>
        </w:rPr>
        <w:t>joint</w:t>
      </w:r>
      <w:r w:rsidR="00146EC0">
        <w:rPr>
          <w:lang w:val="en-US"/>
        </w:rPr>
        <w:t xml:space="preserve"> generation and investment</w:t>
      </w:r>
      <w:r w:rsidR="001966A6">
        <w:rPr>
          <w:lang w:val="en-US"/>
        </w:rPr>
        <w:t xml:space="preserve"> in renewable</w:t>
      </w:r>
      <w:r>
        <w:rPr>
          <w:lang w:val="en-US"/>
        </w:rPr>
        <w:t xml:space="preserve"> energy</w:t>
      </w:r>
      <w:r w:rsidR="009D2E43">
        <w:rPr>
          <w:lang w:val="en-US"/>
        </w:rPr>
        <w:t>,</w:t>
      </w:r>
      <w:r w:rsidR="00146EC0">
        <w:rPr>
          <w:lang w:val="en-US"/>
        </w:rPr>
        <w:t xml:space="preserve"> </w:t>
      </w:r>
      <w:r>
        <w:rPr>
          <w:lang w:val="en-US"/>
        </w:rPr>
        <w:t>offer</w:t>
      </w:r>
      <w:r w:rsidR="00146EC0">
        <w:rPr>
          <w:lang w:val="en-US"/>
        </w:rPr>
        <w:t xml:space="preserve"> </w:t>
      </w:r>
      <w:r>
        <w:rPr>
          <w:lang w:val="en-US"/>
        </w:rPr>
        <w:t>the</w:t>
      </w:r>
      <w:r w:rsidR="00146EC0">
        <w:rPr>
          <w:lang w:val="en-US"/>
        </w:rPr>
        <w:t xml:space="preserve"> opportunity to </w:t>
      </w:r>
      <w:r w:rsidR="009D2E43">
        <w:rPr>
          <w:lang w:val="en-US"/>
        </w:rPr>
        <w:t>accelerate</w:t>
      </w:r>
      <w:r w:rsidR="00146EC0">
        <w:rPr>
          <w:lang w:val="en-US"/>
        </w:rPr>
        <w:t xml:space="preserve"> the </w:t>
      </w:r>
      <w:r w:rsidR="00AC28E9">
        <w:rPr>
          <w:lang w:val="en-US"/>
        </w:rPr>
        <w:t>energy transition</w:t>
      </w:r>
      <w:r>
        <w:rPr>
          <w:lang w:val="en-US"/>
        </w:rPr>
        <w:t>, assuming effective regulation</w:t>
      </w:r>
      <w:r w:rsidR="00146EC0">
        <w:rPr>
          <w:lang w:val="en-US"/>
        </w:rPr>
        <w:t xml:space="preserve"> [</w:t>
      </w:r>
      <w:r w:rsidR="00E22D5A">
        <w:rPr>
          <w:lang w:val="en-US"/>
        </w:rPr>
        <w:t>1</w:t>
      </w:r>
      <w:r w:rsidR="00146EC0">
        <w:rPr>
          <w:lang w:val="en-US"/>
        </w:rPr>
        <w:t xml:space="preserve">]. More than 90% of all German households </w:t>
      </w:r>
      <w:r>
        <w:rPr>
          <w:lang w:val="en-US"/>
        </w:rPr>
        <w:t>are eligible</w:t>
      </w:r>
      <w:r w:rsidR="00146EC0">
        <w:rPr>
          <w:lang w:val="en-US"/>
        </w:rPr>
        <w:t xml:space="preserve"> for energy sharing [</w:t>
      </w:r>
      <w:r w:rsidR="00E22D5A">
        <w:rPr>
          <w:lang w:val="en-US"/>
        </w:rPr>
        <w:t>2]</w:t>
      </w:r>
      <w:r>
        <w:rPr>
          <w:lang w:val="en-US"/>
        </w:rPr>
        <w:t>. However, t</w:t>
      </w:r>
      <w:r w:rsidRPr="004355CB">
        <w:rPr>
          <w:lang w:val="en-US"/>
        </w:rPr>
        <w:t xml:space="preserve">he practical implementation of energy communities </w:t>
      </w:r>
      <w:r w:rsidR="00EE753E">
        <w:rPr>
          <w:lang w:val="en-US"/>
        </w:rPr>
        <w:t>is fraught with</w:t>
      </w:r>
      <w:r>
        <w:rPr>
          <w:lang w:val="en-US"/>
        </w:rPr>
        <w:t xml:space="preserve"> challenges </w:t>
      </w:r>
      <w:r w:rsidR="00EE753E">
        <w:rPr>
          <w:lang w:val="en-US"/>
        </w:rPr>
        <w:t>when it comes to</w:t>
      </w:r>
      <w:r>
        <w:rPr>
          <w:lang w:val="en-US"/>
        </w:rPr>
        <w:t xml:space="preserve"> </w:t>
      </w:r>
      <w:r w:rsidRPr="004355CB">
        <w:rPr>
          <w:lang w:val="en-US"/>
        </w:rPr>
        <w:t xml:space="preserve">developing viable business models and involving local </w:t>
      </w:r>
      <w:r>
        <w:rPr>
          <w:lang w:val="en-US"/>
        </w:rPr>
        <w:t>stakeholders</w:t>
      </w:r>
      <w:r w:rsidRPr="004355CB">
        <w:rPr>
          <w:lang w:val="en-US"/>
        </w:rPr>
        <w:t xml:space="preserve"> beyond energy </w:t>
      </w:r>
      <w:r>
        <w:rPr>
          <w:lang w:val="en-US"/>
        </w:rPr>
        <w:t>sharing</w:t>
      </w:r>
      <w:r w:rsidRPr="004355CB">
        <w:rPr>
          <w:lang w:val="en-US"/>
        </w:rPr>
        <w:t>.</w:t>
      </w:r>
      <w:r>
        <w:rPr>
          <w:lang w:val="en-US"/>
        </w:rPr>
        <w:t xml:space="preserve"> </w:t>
      </w:r>
      <w:r w:rsidR="009D2E43" w:rsidRPr="009D2E43">
        <w:rPr>
          <w:lang w:val="en-US"/>
        </w:rPr>
        <w:t>In this study, we present the results of an extensive expert survey</w:t>
      </w:r>
      <w:r w:rsidR="009D2E43">
        <w:rPr>
          <w:lang w:val="en-US"/>
        </w:rPr>
        <w:t xml:space="preserve"> on user-centric business models for energy communities. </w:t>
      </w:r>
      <w:r w:rsidR="002C3E29">
        <w:rPr>
          <w:lang w:val="en-US"/>
        </w:rPr>
        <w:t xml:space="preserve">The study </w:t>
      </w:r>
      <w:r w:rsidR="00EE753E">
        <w:rPr>
          <w:lang w:val="en-US"/>
        </w:rPr>
        <w:t>has been</w:t>
      </w:r>
      <w:r w:rsidR="002C3E29">
        <w:rPr>
          <w:lang w:val="en-US"/>
        </w:rPr>
        <w:t xml:space="preserve"> conducted as part of the research project “Smart Microgrids as a Service”.</w:t>
      </w:r>
    </w:p>
    <w:p w14:paraId="65259CD9" w14:textId="77777777" w:rsidR="009A4030" w:rsidRPr="00AC28E9" w:rsidRDefault="009A4030" w:rsidP="00227125">
      <w:pPr>
        <w:rPr>
          <w:lang w:val="en-US"/>
        </w:rPr>
      </w:pPr>
    </w:p>
    <w:p w14:paraId="090E212B" w14:textId="329E3385" w:rsidR="005E4D4F" w:rsidRPr="002C3E29" w:rsidRDefault="00736BFB" w:rsidP="005E4D4F">
      <w:pPr>
        <w:pStyle w:val="Ueberschrift"/>
        <w:rPr>
          <w:lang w:val="en-US"/>
        </w:rPr>
      </w:pPr>
      <w:r>
        <w:rPr>
          <w:lang w:val="en-US"/>
        </w:rPr>
        <w:t>Methodological Approach</w:t>
      </w:r>
    </w:p>
    <w:p w14:paraId="5A20BB74" w14:textId="6ABDF05F" w:rsidR="00B33946" w:rsidRPr="007A2389" w:rsidRDefault="007A2389">
      <w:pPr>
        <w:rPr>
          <w:lang w:val="en-US"/>
        </w:rPr>
      </w:pPr>
      <w:r w:rsidRPr="007A2389">
        <w:rPr>
          <w:lang w:val="en-US"/>
        </w:rPr>
        <w:t>Previous energy community concepts o</w:t>
      </w:r>
      <w:r>
        <w:rPr>
          <w:lang w:val="en-US"/>
        </w:rPr>
        <w:t xml:space="preserve">ften focus on a peer-to-peer trading with active customer </w:t>
      </w:r>
      <w:r w:rsidR="00EE753E">
        <w:rPr>
          <w:lang w:val="en-US"/>
        </w:rPr>
        <w:t>participation</w:t>
      </w:r>
      <w:r>
        <w:rPr>
          <w:lang w:val="en-US"/>
        </w:rPr>
        <w:t xml:space="preserve"> [</w:t>
      </w:r>
      <w:r w:rsidR="00E22D5A">
        <w:rPr>
          <w:lang w:val="en-US"/>
        </w:rPr>
        <w:t>3</w:t>
      </w:r>
      <w:r>
        <w:rPr>
          <w:lang w:val="en-US"/>
        </w:rPr>
        <w:t>], but</w:t>
      </w:r>
      <w:r w:rsidR="00AC28E9">
        <w:rPr>
          <w:lang w:val="en-US"/>
        </w:rPr>
        <w:t xml:space="preserve"> research has shown that</w:t>
      </w:r>
      <w:r>
        <w:rPr>
          <w:lang w:val="en-US"/>
        </w:rPr>
        <w:t xml:space="preserve"> user interaction decreases over time [</w:t>
      </w:r>
      <w:r w:rsidR="00E22D5A">
        <w:rPr>
          <w:lang w:val="en-US"/>
        </w:rPr>
        <w:t>4</w:t>
      </w:r>
      <w:r>
        <w:rPr>
          <w:lang w:val="en-US"/>
        </w:rPr>
        <w:t>]</w:t>
      </w:r>
      <w:r w:rsidR="00EE753E">
        <w:rPr>
          <w:lang w:val="en-US"/>
        </w:rPr>
        <w:t xml:space="preserve">, </w:t>
      </w:r>
      <w:r w:rsidR="00EE753E" w:rsidRPr="00EE753E">
        <w:rPr>
          <w:lang w:val="en-US"/>
        </w:rPr>
        <w:t>as expected for a low-involvement product like energy</w:t>
      </w:r>
      <w:r>
        <w:rPr>
          <w:lang w:val="en-US"/>
        </w:rPr>
        <w:t>.</w:t>
      </w:r>
      <w:r w:rsidR="00616C56">
        <w:rPr>
          <w:lang w:val="en-US"/>
        </w:rPr>
        <w:t xml:space="preserve"> </w:t>
      </w:r>
      <w:r w:rsidR="007F3C01">
        <w:rPr>
          <w:lang w:val="en-US"/>
        </w:rPr>
        <w:t>The</w:t>
      </w:r>
      <w:r w:rsidR="00EE753E">
        <w:rPr>
          <w:lang w:val="en-US"/>
        </w:rPr>
        <w:t>refore, the</w:t>
      </w:r>
      <w:r w:rsidR="007F3C01">
        <w:rPr>
          <w:lang w:val="en-US"/>
        </w:rPr>
        <w:t xml:space="preserve"> identification </w:t>
      </w:r>
      <w:r w:rsidR="00AC28E9">
        <w:rPr>
          <w:lang w:val="en-US"/>
        </w:rPr>
        <w:t xml:space="preserve">and evaluation </w:t>
      </w:r>
      <w:r w:rsidR="007F3C01">
        <w:rPr>
          <w:lang w:val="en-US"/>
        </w:rPr>
        <w:t xml:space="preserve">of </w:t>
      </w:r>
      <w:r w:rsidR="00EE753E">
        <w:rPr>
          <w:lang w:val="en-US"/>
        </w:rPr>
        <w:t>suitable</w:t>
      </w:r>
      <w:r w:rsidR="007F3C01">
        <w:rPr>
          <w:lang w:val="en-US"/>
        </w:rPr>
        <w:t xml:space="preserve"> business models </w:t>
      </w:r>
      <w:r w:rsidR="002B71D7">
        <w:rPr>
          <w:lang w:val="en-US"/>
        </w:rPr>
        <w:t xml:space="preserve">tailored to the context of energy communities </w:t>
      </w:r>
      <w:r w:rsidR="007F3C01">
        <w:rPr>
          <w:lang w:val="en-US"/>
        </w:rPr>
        <w:t xml:space="preserve">is necessary. </w:t>
      </w:r>
      <w:r w:rsidR="00E4086E">
        <w:rPr>
          <w:lang w:val="en-US"/>
        </w:rPr>
        <w:t>Using</w:t>
      </w:r>
      <w:r w:rsidR="00CF43E8">
        <w:rPr>
          <w:lang w:val="en-US"/>
        </w:rPr>
        <w:t xml:space="preserve"> </w:t>
      </w:r>
      <w:r w:rsidR="002B71D7">
        <w:rPr>
          <w:lang w:val="en-US"/>
        </w:rPr>
        <w:t xml:space="preserve">a </w:t>
      </w:r>
      <w:r w:rsidR="00E4086E">
        <w:rPr>
          <w:lang w:val="en-US"/>
        </w:rPr>
        <w:t>comprehensive</w:t>
      </w:r>
      <w:r w:rsidR="00CF43E8">
        <w:rPr>
          <w:lang w:val="en-US"/>
        </w:rPr>
        <w:t xml:space="preserve"> literature review, w</w:t>
      </w:r>
      <w:r>
        <w:rPr>
          <w:lang w:val="en-US"/>
        </w:rPr>
        <w:t>e identif</w:t>
      </w:r>
      <w:r w:rsidR="00EE753E">
        <w:rPr>
          <w:lang w:val="en-US"/>
        </w:rPr>
        <w:t>ied</w:t>
      </w:r>
      <w:r>
        <w:rPr>
          <w:lang w:val="en-US"/>
        </w:rPr>
        <w:t xml:space="preserve"> five potential business models for </w:t>
      </w:r>
      <w:r w:rsidR="005E2876">
        <w:rPr>
          <w:lang w:val="en-US"/>
        </w:rPr>
        <w:t>energy communities</w:t>
      </w:r>
      <w:r w:rsidR="00B33946">
        <w:rPr>
          <w:lang w:val="en-US"/>
        </w:rPr>
        <w:t xml:space="preserve">: </w:t>
      </w:r>
      <w:r w:rsidR="00975BFB">
        <w:rPr>
          <w:lang w:val="en-US"/>
        </w:rPr>
        <w:t>Aggregating flexibility of private households</w:t>
      </w:r>
      <w:r w:rsidR="00EE5659">
        <w:rPr>
          <w:lang w:val="en-US"/>
        </w:rPr>
        <w:t xml:space="preserve"> (Flex)</w:t>
      </w:r>
      <w:r w:rsidR="00975BFB">
        <w:rPr>
          <w:lang w:val="en-US"/>
        </w:rPr>
        <w:t>, peer-to-peer trading</w:t>
      </w:r>
      <w:r w:rsidR="00203376">
        <w:rPr>
          <w:lang w:val="en-US"/>
        </w:rPr>
        <w:t xml:space="preserve"> in energy communities</w:t>
      </w:r>
      <w:r w:rsidR="00EE5659">
        <w:rPr>
          <w:lang w:val="en-US"/>
        </w:rPr>
        <w:t xml:space="preserve"> (P2P)</w:t>
      </w:r>
      <w:r w:rsidR="00203376">
        <w:rPr>
          <w:lang w:val="en-US"/>
        </w:rPr>
        <w:t xml:space="preserve">, collective investment in renewable energy </w:t>
      </w:r>
      <w:r w:rsidR="0084405A">
        <w:rPr>
          <w:lang w:val="en-US"/>
        </w:rPr>
        <w:t>appliances</w:t>
      </w:r>
      <w:r w:rsidR="00EE5659">
        <w:rPr>
          <w:lang w:val="en-US"/>
        </w:rPr>
        <w:t xml:space="preserve"> (Invest)</w:t>
      </w:r>
      <w:r w:rsidR="0084405A">
        <w:rPr>
          <w:lang w:val="en-US"/>
        </w:rPr>
        <w:t>, operative leasing of appliances</w:t>
      </w:r>
      <w:r w:rsidR="00EE5659">
        <w:rPr>
          <w:lang w:val="en-US"/>
        </w:rPr>
        <w:t xml:space="preserve"> (Lease)</w:t>
      </w:r>
      <w:r w:rsidR="0084405A">
        <w:rPr>
          <w:lang w:val="en-US"/>
        </w:rPr>
        <w:t xml:space="preserve"> and energy-as-a-service</w:t>
      </w:r>
      <w:r w:rsidR="00EE5659">
        <w:rPr>
          <w:lang w:val="en-US"/>
        </w:rPr>
        <w:t xml:space="preserve"> (EaaS)</w:t>
      </w:r>
      <w:r w:rsidR="0084405A">
        <w:rPr>
          <w:lang w:val="en-US"/>
        </w:rPr>
        <w:t>.</w:t>
      </w:r>
      <w:r w:rsidR="00A264BB">
        <w:rPr>
          <w:lang w:val="en-US"/>
        </w:rPr>
        <w:t xml:space="preserve"> </w:t>
      </w:r>
      <w:r w:rsidR="0084405A">
        <w:rPr>
          <w:lang w:val="en-US"/>
        </w:rPr>
        <w:t xml:space="preserve">To </w:t>
      </w:r>
      <w:r w:rsidR="00E4086E">
        <w:rPr>
          <w:lang w:val="en-US"/>
        </w:rPr>
        <w:t>assess</w:t>
      </w:r>
      <w:r w:rsidR="0084405A">
        <w:rPr>
          <w:lang w:val="en-US"/>
        </w:rPr>
        <w:t xml:space="preserve"> the </w:t>
      </w:r>
      <w:r w:rsidR="007F21C8">
        <w:rPr>
          <w:lang w:val="en-US"/>
        </w:rPr>
        <w:t xml:space="preserve">potential </w:t>
      </w:r>
      <w:r w:rsidR="00E4086E">
        <w:rPr>
          <w:lang w:val="en-US"/>
        </w:rPr>
        <w:t>of</w:t>
      </w:r>
      <w:r w:rsidR="007F21C8">
        <w:rPr>
          <w:lang w:val="en-US"/>
        </w:rPr>
        <w:t xml:space="preserve"> these business models, we</w:t>
      </w:r>
      <w:r w:rsidR="00E95749">
        <w:rPr>
          <w:lang w:val="en-US"/>
        </w:rPr>
        <w:t xml:space="preserve"> conduct</w:t>
      </w:r>
      <w:r w:rsidR="00E4086E">
        <w:rPr>
          <w:lang w:val="en-US"/>
        </w:rPr>
        <w:t>ed</w:t>
      </w:r>
      <w:r w:rsidR="00E95749">
        <w:rPr>
          <w:lang w:val="en-US"/>
        </w:rPr>
        <w:t xml:space="preserve"> a</w:t>
      </w:r>
      <w:r w:rsidR="00656F89">
        <w:rPr>
          <w:lang w:val="en-US"/>
        </w:rPr>
        <w:t xml:space="preserve">n </w:t>
      </w:r>
      <w:r w:rsidR="00E95749">
        <w:rPr>
          <w:lang w:val="en-US"/>
        </w:rPr>
        <w:t xml:space="preserve">expert survey with </w:t>
      </w:r>
      <w:r w:rsidR="000D4C27">
        <w:rPr>
          <w:lang w:val="en-US"/>
        </w:rPr>
        <w:t>40</w:t>
      </w:r>
      <w:r w:rsidR="00E95749">
        <w:rPr>
          <w:lang w:val="en-US"/>
        </w:rPr>
        <w:t xml:space="preserve"> industry experts</w:t>
      </w:r>
      <w:r w:rsidR="00CF43E8">
        <w:rPr>
          <w:lang w:val="en-US"/>
        </w:rPr>
        <w:t>.</w:t>
      </w:r>
      <w:r w:rsidR="003211B2">
        <w:rPr>
          <w:lang w:val="en-US"/>
        </w:rPr>
        <w:t xml:space="preserve"> The expert pool consist</w:t>
      </w:r>
      <w:r w:rsidR="00E4086E">
        <w:rPr>
          <w:lang w:val="en-US"/>
        </w:rPr>
        <w:t>ed</w:t>
      </w:r>
      <w:r w:rsidR="003211B2">
        <w:rPr>
          <w:lang w:val="en-US"/>
        </w:rPr>
        <w:t xml:space="preserve"> mainly of senior executives </w:t>
      </w:r>
      <w:r w:rsidR="00E4086E">
        <w:rPr>
          <w:lang w:val="en-US"/>
        </w:rPr>
        <w:t xml:space="preserve">working </w:t>
      </w:r>
      <w:r w:rsidR="00981E8A">
        <w:rPr>
          <w:lang w:val="en-US"/>
        </w:rPr>
        <w:t>for energy utilities (47,5%), distribution system operators (15%), transmission system operators (7,5%), research institutions (7,5%) or other companies in the energy sector (22,5%)</w:t>
      </w:r>
      <w:r w:rsidR="003211B2">
        <w:rPr>
          <w:lang w:val="en-US"/>
        </w:rPr>
        <w:t>.</w:t>
      </w:r>
      <w:r w:rsidR="00CF43E8">
        <w:rPr>
          <w:lang w:val="en-US"/>
        </w:rPr>
        <w:t xml:space="preserve"> The business models </w:t>
      </w:r>
      <w:r w:rsidR="00E4086E">
        <w:rPr>
          <w:lang w:val="en-US"/>
        </w:rPr>
        <w:t>were</w:t>
      </w:r>
      <w:r w:rsidR="00CF43E8">
        <w:rPr>
          <w:lang w:val="en-US"/>
        </w:rPr>
        <w:t xml:space="preserve"> rated</w:t>
      </w:r>
      <w:r w:rsidR="00E4086E">
        <w:rPr>
          <w:lang w:val="en-US"/>
        </w:rPr>
        <w:t xml:space="preserve"> by the experts</w:t>
      </w:r>
      <w:r w:rsidR="000D4C27">
        <w:rPr>
          <w:lang w:val="en-US"/>
        </w:rPr>
        <w:t xml:space="preserve"> on </w:t>
      </w:r>
      <w:r w:rsidR="00981E8A">
        <w:rPr>
          <w:lang w:val="en-US"/>
        </w:rPr>
        <w:t>5</w:t>
      </w:r>
      <w:r w:rsidR="000D4C27">
        <w:rPr>
          <w:lang w:val="en-US"/>
        </w:rPr>
        <w:t xml:space="preserve">-point </w:t>
      </w:r>
      <w:r w:rsidR="00E4086E">
        <w:rPr>
          <w:lang w:val="en-US"/>
        </w:rPr>
        <w:t>L</w:t>
      </w:r>
      <w:r w:rsidR="000D4C27">
        <w:rPr>
          <w:lang w:val="en-US"/>
        </w:rPr>
        <w:t>ikert</w:t>
      </w:r>
      <w:r w:rsidR="00981E8A">
        <w:rPr>
          <w:lang w:val="en-US"/>
        </w:rPr>
        <w:t xml:space="preserve"> </w:t>
      </w:r>
      <w:r w:rsidR="000D4C27">
        <w:rPr>
          <w:lang w:val="en-US"/>
        </w:rPr>
        <w:t>scale</w:t>
      </w:r>
      <w:r w:rsidR="00E4086E">
        <w:rPr>
          <w:lang w:val="en-US"/>
        </w:rPr>
        <w:t>s</w:t>
      </w:r>
      <w:r w:rsidR="00CF43E8">
        <w:rPr>
          <w:lang w:val="en-US"/>
        </w:rPr>
        <w:t xml:space="preserve"> in </w:t>
      </w:r>
      <w:r w:rsidR="000D4C27">
        <w:rPr>
          <w:lang w:val="en-US"/>
        </w:rPr>
        <w:t>eleven</w:t>
      </w:r>
      <w:r w:rsidR="00CF43E8">
        <w:rPr>
          <w:lang w:val="en-US"/>
        </w:rPr>
        <w:t xml:space="preserve"> categories, including</w:t>
      </w:r>
      <w:r w:rsidR="003211B2">
        <w:rPr>
          <w:lang w:val="en-US"/>
        </w:rPr>
        <w:t xml:space="preserve"> perceived and actual</w:t>
      </w:r>
      <w:r w:rsidR="00CF43E8">
        <w:rPr>
          <w:lang w:val="en-US"/>
        </w:rPr>
        <w:t xml:space="preserve"> potential for cost savings </w:t>
      </w:r>
      <w:r w:rsidR="00E4086E">
        <w:rPr>
          <w:lang w:val="en-US"/>
        </w:rPr>
        <w:t>to</w:t>
      </w:r>
      <w:r w:rsidR="00CF43E8">
        <w:rPr>
          <w:lang w:val="en-US"/>
        </w:rPr>
        <w:t xml:space="preserve"> customers, positive </w:t>
      </w:r>
      <w:r w:rsidR="00E4086E">
        <w:rPr>
          <w:lang w:val="en-US"/>
        </w:rPr>
        <w:t>impact</w:t>
      </w:r>
      <w:r w:rsidR="00CF43E8">
        <w:rPr>
          <w:lang w:val="en-US"/>
        </w:rPr>
        <w:t xml:space="preserve"> on emission</w:t>
      </w:r>
      <w:r w:rsidR="00E4086E">
        <w:rPr>
          <w:lang w:val="en-US"/>
        </w:rPr>
        <w:t>s</w:t>
      </w:r>
      <w:r w:rsidR="00CF43E8">
        <w:rPr>
          <w:lang w:val="en-US"/>
        </w:rPr>
        <w:t xml:space="preserve"> savings, </w:t>
      </w:r>
      <w:r w:rsidR="00E4086E">
        <w:rPr>
          <w:lang w:val="en-US"/>
        </w:rPr>
        <w:t>fostering</w:t>
      </w:r>
      <w:r w:rsidR="003211B2">
        <w:rPr>
          <w:lang w:val="en-US"/>
        </w:rPr>
        <w:t xml:space="preserve"> </w:t>
      </w:r>
      <w:r w:rsidR="00CF43E8">
        <w:rPr>
          <w:lang w:val="en-US"/>
        </w:rPr>
        <w:t>community</w:t>
      </w:r>
      <w:r w:rsidR="003211B2">
        <w:rPr>
          <w:lang w:val="en-US"/>
        </w:rPr>
        <w:t xml:space="preserve"> spirit</w:t>
      </w:r>
      <w:r w:rsidR="000D4C27">
        <w:rPr>
          <w:lang w:val="en-US"/>
        </w:rPr>
        <w:t xml:space="preserve"> and </w:t>
      </w:r>
      <w:r w:rsidR="00E4086E">
        <w:rPr>
          <w:lang w:val="en-US"/>
        </w:rPr>
        <w:t>adding</w:t>
      </w:r>
      <w:r w:rsidR="000D4C27">
        <w:rPr>
          <w:lang w:val="en-US"/>
        </w:rPr>
        <w:t xml:space="preserve"> value </w:t>
      </w:r>
      <w:r w:rsidR="00E4086E">
        <w:rPr>
          <w:lang w:val="en-US"/>
        </w:rPr>
        <w:t>to</w:t>
      </w:r>
      <w:r w:rsidR="000D4C27">
        <w:rPr>
          <w:lang w:val="en-US"/>
        </w:rPr>
        <w:t xml:space="preserve"> society</w:t>
      </w:r>
      <w:r w:rsidR="00CF43E8">
        <w:rPr>
          <w:lang w:val="en-US"/>
        </w:rPr>
        <w:t>, availability of technological requirements</w:t>
      </w:r>
      <w:r w:rsidR="000D4C27">
        <w:rPr>
          <w:lang w:val="en-US"/>
        </w:rPr>
        <w:t>, increas</w:t>
      </w:r>
      <w:r w:rsidR="00E4086E">
        <w:rPr>
          <w:lang w:val="en-US"/>
        </w:rPr>
        <w:t>ing</w:t>
      </w:r>
      <w:r w:rsidR="000D4C27">
        <w:rPr>
          <w:lang w:val="en-US"/>
        </w:rPr>
        <w:t xml:space="preserve"> energy </w:t>
      </w:r>
      <w:r w:rsidR="00E4086E" w:rsidRPr="00E4086E">
        <w:rPr>
          <w:lang w:val="en-US"/>
        </w:rPr>
        <w:t>self-sufficiency,</w:t>
      </w:r>
      <w:r w:rsidR="00E4086E">
        <w:rPr>
          <w:lang w:val="en-US"/>
        </w:rPr>
        <w:t xml:space="preserve"> </w:t>
      </w:r>
      <w:r w:rsidR="00CF43E8">
        <w:rPr>
          <w:lang w:val="en-US"/>
        </w:rPr>
        <w:t>and feasibility of the business model from a provider’s perspective.</w:t>
      </w:r>
    </w:p>
    <w:p w14:paraId="750B8751" w14:textId="77777777" w:rsidR="005E4D4F" w:rsidRPr="007A2389" w:rsidRDefault="005E4D4F" w:rsidP="00227125">
      <w:pPr>
        <w:rPr>
          <w:lang w:val="en-US"/>
        </w:rPr>
      </w:pPr>
    </w:p>
    <w:p w14:paraId="49A7B811" w14:textId="0D234190" w:rsidR="009A4243" w:rsidRPr="00A05284" w:rsidRDefault="00736BFB" w:rsidP="00971BFE">
      <w:pPr>
        <w:pStyle w:val="Ueberschrift"/>
        <w:rPr>
          <w:lang w:val="en-US"/>
        </w:rPr>
      </w:pPr>
      <w:r>
        <w:rPr>
          <w:lang w:val="en-US"/>
        </w:rPr>
        <w:t>Results</w:t>
      </w:r>
      <w:r w:rsidR="005E4D4F" w:rsidRPr="00A05284">
        <w:rPr>
          <w:lang w:val="en-US"/>
        </w:rPr>
        <w:t xml:space="preserve"> </w:t>
      </w:r>
      <w:r>
        <w:rPr>
          <w:lang w:val="en-US"/>
        </w:rPr>
        <w:t>a</w:t>
      </w:r>
      <w:r w:rsidR="005E4D4F" w:rsidRPr="00A05284">
        <w:rPr>
          <w:lang w:val="en-US"/>
        </w:rPr>
        <w:t xml:space="preserve">nd </w:t>
      </w:r>
      <w:r>
        <w:rPr>
          <w:lang w:val="en-US"/>
        </w:rPr>
        <w:t>Conclusions</w:t>
      </w:r>
    </w:p>
    <w:p w14:paraId="63AC9CDB" w14:textId="44BB4AF6" w:rsidR="000D4C27" w:rsidRPr="00945408" w:rsidRDefault="00C76671" w:rsidP="00F86D45">
      <w:pPr>
        <w:rPr>
          <w:rStyle w:val="rynqvb"/>
          <w:lang w:val="en-US"/>
        </w:rPr>
      </w:pPr>
      <w:r>
        <w:rPr>
          <w:lang w:val="en-US"/>
        </w:rPr>
        <w:t xml:space="preserve">While </w:t>
      </w:r>
      <w:r w:rsidR="002F7FF2">
        <w:rPr>
          <w:lang w:val="en-US"/>
        </w:rPr>
        <w:t xml:space="preserve">the experts expect </w:t>
      </w:r>
      <w:r>
        <w:rPr>
          <w:lang w:val="en-US"/>
        </w:rPr>
        <w:t xml:space="preserve">all </w:t>
      </w:r>
      <w:r w:rsidR="00005056">
        <w:rPr>
          <w:lang w:val="en-US"/>
        </w:rPr>
        <w:t xml:space="preserve">business models to have a positive impact on </w:t>
      </w:r>
      <w:r w:rsidR="003A7EFF">
        <w:rPr>
          <w:lang w:val="en-US"/>
        </w:rPr>
        <w:t xml:space="preserve">the expansion of renewable </w:t>
      </w:r>
      <w:r w:rsidR="002F7FF2">
        <w:rPr>
          <w:lang w:val="en-US"/>
        </w:rPr>
        <w:t>energy</w:t>
      </w:r>
      <w:r w:rsidR="003A7EFF">
        <w:rPr>
          <w:lang w:val="en-US"/>
        </w:rPr>
        <w:t xml:space="preserve"> and</w:t>
      </w:r>
      <w:r w:rsidR="002F7FF2">
        <w:rPr>
          <w:lang w:val="en-US"/>
        </w:rPr>
        <w:t xml:space="preserve"> the</w:t>
      </w:r>
      <w:r w:rsidR="003A7EFF">
        <w:rPr>
          <w:lang w:val="en-US"/>
        </w:rPr>
        <w:t xml:space="preserve"> </w:t>
      </w:r>
      <w:r w:rsidR="00D6346F">
        <w:rPr>
          <w:lang w:val="en-US"/>
        </w:rPr>
        <w:t>reduction of carbon emissions, the</w:t>
      </w:r>
      <w:r w:rsidR="002F7FF2">
        <w:rPr>
          <w:lang w:val="en-US"/>
        </w:rPr>
        <w:t>y</w:t>
      </w:r>
      <w:r w:rsidR="00D6346F">
        <w:rPr>
          <w:lang w:val="en-US"/>
        </w:rPr>
        <w:t xml:space="preserve"> see</w:t>
      </w:r>
      <w:r w:rsidR="000B0DFB">
        <w:rPr>
          <w:lang w:val="en-US"/>
        </w:rPr>
        <w:t xml:space="preserve"> </w:t>
      </w:r>
      <w:r w:rsidR="00F34852">
        <w:rPr>
          <w:lang w:val="en-US"/>
        </w:rPr>
        <w:t xml:space="preserve">a need for action </w:t>
      </w:r>
      <w:r w:rsidR="002F7FF2">
        <w:rPr>
          <w:lang w:val="en-US"/>
        </w:rPr>
        <w:t>on</w:t>
      </w:r>
      <w:r w:rsidR="00F34852">
        <w:rPr>
          <w:lang w:val="en-US"/>
        </w:rPr>
        <w:t xml:space="preserve"> the</w:t>
      </w:r>
      <w:r w:rsidR="000B0DFB">
        <w:rPr>
          <w:lang w:val="en-US"/>
        </w:rPr>
        <w:t xml:space="preserve"> technical </w:t>
      </w:r>
      <w:r w:rsidR="0011651D">
        <w:rPr>
          <w:lang w:val="en-US"/>
        </w:rPr>
        <w:t>requirements</w:t>
      </w:r>
      <w:r w:rsidR="000B0DFB">
        <w:rPr>
          <w:lang w:val="en-US"/>
        </w:rPr>
        <w:t xml:space="preserve"> for</w:t>
      </w:r>
      <w:r w:rsidR="0011651D">
        <w:rPr>
          <w:lang w:val="en-US"/>
        </w:rPr>
        <w:t xml:space="preserve"> </w:t>
      </w:r>
      <w:r w:rsidR="00CF2661">
        <w:rPr>
          <w:lang w:val="en-US"/>
        </w:rPr>
        <w:t xml:space="preserve">the </w:t>
      </w:r>
      <w:r w:rsidR="00CF2661" w:rsidRPr="00CF2661">
        <w:rPr>
          <w:i/>
          <w:iCs/>
          <w:lang w:val="en-US"/>
        </w:rPr>
        <w:t>Flex</w:t>
      </w:r>
      <w:r w:rsidR="00FA206E">
        <w:rPr>
          <w:lang w:val="en-US"/>
        </w:rPr>
        <w:t xml:space="preserve"> and</w:t>
      </w:r>
      <w:r w:rsidR="00CF2661">
        <w:rPr>
          <w:lang w:val="en-US"/>
        </w:rPr>
        <w:t xml:space="preserve"> </w:t>
      </w:r>
      <w:r w:rsidR="00CF2661" w:rsidRPr="00CF2661">
        <w:rPr>
          <w:i/>
          <w:iCs/>
          <w:lang w:val="en-US"/>
        </w:rPr>
        <w:t>P2P</w:t>
      </w:r>
      <w:r w:rsidR="00CF2661">
        <w:rPr>
          <w:lang w:val="en-US"/>
        </w:rPr>
        <w:t xml:space="preserve"> business models</w:t>
      </w:r>
      <w:r w:rsidR="00EE5659">
        <w:rPr>
          <w:lang w:val="en-US"/>
        </w:rPr>
        <w:t xml:space="preserve"> (</w:t>
      </w:r>
      <w:r w:rsidR="00D5035B">
        <w:rPr>
          <w:lang w:val="en-US"/>
        </w:rPr>
        <w:t xml:space="preserve">see </w:t>
      </w:r>
      <w:r w:rsidR="00EE5659">
        <w:rPr>
          <w:lang w:val="en-US"/>
        </w:rPr>
        <w:t>Figure 1)</w:t>
      </w:r>
      <w:r w:rsidR="00FA206E">
        <w:rPr>
          <w:lang w:val="en-US"/>
        </w:rPr>
        <w:t>.</w:t>
      </w:r>
      <w:r w:rsidR="00F86D45">
        <w:rPr>
          <w:lang w:val="en-US"/>
        </w:rPr>
        <w:t xml:space="preserve"> </w:t>
      </w:r>
      <w:r w:rsidR="00B07665">
        <w:rPr>
          <w:lang w:val="en-US"/>
        </w:rPr>
        <w:t>Both</w:t>
      </w:r>
      <w:r w:rsidR="00690F13">
        <w:rPr>
          <w:lang w:val="en-US"/>
        </w:rPr>
        <w:t xml:space="preserve"> </w:t>
      </w:r>
      <w:r w:rsidR="008B7749">
        <w:rPr>
          <w:lang w:val="en-US"/>
        </w:rPr>
        <w:t>require</w:t>
      </w:r>
      <w:r w:rsidR="00690F13">
        <w:rPr>
          <w:lang w:val="en-US"/>
        </w:rPr>
        <w:t xml:space="preserve"> specific h</w:t>
      </w:r>
      <w:r w:rsidR="00F86D45">
        <w:rPr>
          <w:lang w:val="en-US"/>
        </w:rPr>
        <w:t xml:space="preserve">ardware, </w:t>
      </w:r>
      <w:r w:rsidR="00B07665">
        <w:rPr>
          <w:lang w:val="en-US"/>
        </w:rPr>
        <w:t>particularly</w:t>
      </w:r>
      <w:r w:rsidR="00F86D45">
        <w:rPr>
          <w:lang w:val="en-US"/>
        </w:rPr>
        <w:t xml:space="preserve"> smart meters, to enable widespread implementation</w:t>
      </w:r>
      <w:r w:rsidR="002F7FF2">
        <w:rPr>
          <w:lang w:val="en-US"/>
        </w:rPr>
        <w:t xml:space="preserve"> in practice</w:t>
      </w:r>
      <w:r w:rsidR="00F86D45">
        <w:rPr>
          <w:lang w:val="en-US"/>
        </w:rPr>
        <w:t>.</w:t>
      </w:r>
      <w:r w:rsidR="008B33FC">
        <w:rPr>
          <w:lang w:val="en-US"/>
        </w:rPr>
        <w:t xml:space="preserve"> In addition</w:t>
      </w:r>
      <w:r w:rsidR="00F86D45">
        <w:rPr>
          <w:lang w:val="en-US"/>
        </w:rPr>
        <w:t xml:space="preserve">, </w:t>
      </w:r>
      <w:proofErr w:type="gramStart"/>
      <w:r w:rsidR="00F86D45">
        <w:rPr>
          <w:lang w:val="en-US"/>
        </w:rPr>
        <w:t>the majority of</w:t>
      </w:r>
      <w:proofErr w:type="gramEnd"/>
      <w:r w:rsidR="00F86D45">
        <w:rPr>
          <w:lang w:val="en-US"/>
        </w:rPr>
        <w:t xml:space="preserve"> experts expect financial savings for customers in all </w:t>
      </w:r>
      <w:r w:rsidR="008B33FC">
        <w:rPr>
          <w:lang w:val="en-US"/>
        </w:rPr>
        <w:t xml:space="preserve">business models </w:t>
      </w:r>
      <w:r w:rsidR="00B07665">
        <w:rPr>
          <w:lang w:val="en-US"/>
        </w:rPr>
        <w:t>except for</w:t>
      </w:r>
      <w:r w:rsidR="00F86D45">
        <w:rPr>
          <w:lang w:val="en-US"/>
        </w:rPr>
        <w:t xml:space="preserve"> the </w:t>
      </w:r>
      <w:r w:rsidR="00F86D45" w:rsidRPr="008B33FC">
        <w:rPr>
          <w:i/>
          <w:iCs/>
          <w:lang w:val="en-US"/>
        </w:rPr>
        <w:t>Lease</w:t>
      </w:r>
      <w:r w:rsidR="00F86D45">
        <w:rPr>
          <w:lang w:val="en-US"/>
        </w:rPr>
        <w:t xml:space="preserve"> business model (Figure 2). The</w:t>
      </w:r>
      <w:r w:rsidR="000D4C27">
        <w:rPr>
          <w:lang w:val="en-US"/>
        </w:rPr>
        <w:t xml:space="preserve"> highest monetary incentives or cost reduction</w:t>
      </w:r>
      <w:r w:rsidR="00F86D45">
        <w:rPr>
          <w:lang w:val="en-US"/>
        </w:rPr>
        <w:t xml:space="preserve">s are </w:t>
      </w:r>
      <w:r w:rsidR="00D5035B">
        <w:rPr>
          <w:lang w:val="en-US"/>
        </w:rPr>
        <w:t>anticipated from</w:t>
      </w:r>
      <w:r w:rsidR="000D4C27">
        <w:rPr>
          <w:lang w:val="en-US"/>
        </w:rPr>
        <w:t xml:space="preserve"> </w:t>
      </w:r>
      <w:r w:rsidR="008B33FC">
        <w:rPr>
          <w:lang w:val="en-US"/>
        </w:rPr>
        <w:t xml:space="preserve">the </w:t>
      </w:r>
      <w:r w:rsidR="008B33FC" w:rsidRPr="008B33FC">
        <w:rPr>
          <w:i/>
          <w:iCs/>
          <w:lang w:val="en-US"/>
        </w:rPr>
        <w:t>Invest</w:t>
      </w:r>
      <w:r w:rsidR="008B33FC">
        <w:rPr>
          <w:lang w:val="en-US"/>
        </w:rPr>
        <w:t xml:space="preserve"> business model</w:t>
      </w:r>
      <w:r w:rsidR="000D4C27">
        <w:rPr>
          <w:lang w:val="en-US"/>
        </w:rPr>
        <w:t xml:space="preserve"> </w:t>
      </w:r>
      <w:r w:rsidR="000D4C27" w:rsidRPr="008B33FC">
        <w:rPr>
          <w:rFonts w:cs="Arial"/>
          <w:lang w:val="en-US"/>
        </w:rPr>
        <w:t>(</w:t>
      </w:r>
      <m:oMath>
        <m:r>
          <w:rPr>
            <w:rFonts w:ascii="Cambria Math" w:hAnsi="Cambria Math" w:cs="Arial"/>
            <w:lang w:val="en-US"/>
          </w:rPr>
          <m:t>μ=3.53</m:t>
        </m:r>
        <m:r>
          <w:rPr>
            <w:rFonts w:ascii="Cambria Math" w:hAnsi="Cambria Math" w:cs="Arial"/>
            <w:lang w:val="en-US"/>
          </w:rPr>
          <m:t>1</m:t>
        </m:r>
        <m:r>
          <w:rPr>
            <w:rFonts w:ascii="Cambria Math" w:hAnsi="Cambria Math" w:cs="Arial"/>
            <w:lang w:val="en-US"/>
          </w:rPr>
          <m:t>,</m:t>
        </m:r>
        <m:r>
          <w:rPr>
            <w:rFonts w:ascii="Cambria Math" w:hAnsi="Cambria Math" w:cs="Arial"/>
            <w:lang w:val="en-US"/>
          </w:rPr>
          <m:t xml:space="preserve"> </m:t>
        </m:r>
        <m:r>
          <w:rPr>
            <w:rFonts w:ascii="Cambria Math" w:hAnsi="Cambria Math" w:cs="Arial"/>
            <w:lang w:val="en-US"/>
          </w:rPr>
          <m:t xml:space="preserve"> σ=1</m:t>
        </m:r>
      </m:oMath>
      <w:r w:rsidR="000D4C27" w:rsidRPr="008B33FC">
        <w:rPr>
          <w:rFonts w:cs="Arial"/>
          <w:lang w:val="en-US"/>
        </w:rPr>
        <w:t xml:space="preserve">; </w:t>
      </w:r>
      <w:r w:rsidR="000D4C27">
        <w:rPr>
          <w:lang w:val="en-US"/>
        </w:rPr>
        <w:t xml:space="preserve">5-point </w:t>
      </w:r>
      <w:r w:rsidR="008B33FC">
        <w:rPr>
          <w:lang w:val="en-US"/>
        </w:rPr>
        <w:t>L</w:t>
      </w:r>
      <w:r w:rsidR="000D4C27">
        <w:rPr>
          <w:lang w:val="en-US"/>
        </w:rPr>
        <w:t>ikert scale).</w:t>
      </w:r>
      <w:r w:rsidR="008B33FC">
        <w:rPr>
          <w:lang w:val="en-US"/>
        </w:rPr>
        <w:t xml:space="preserve"> </w:t>
      </w:r>
      <w:r w:rsidR="00945408">
        <w:rPr>
          <w:lang w:val="en-US"/>
        </w:rPr>
        <w:t>While t</w:t>
      </w:r>
      <w:r w:rsidR="00945408" w:rsidRPr="00971BFE">
        <w:rPr>
          <w:lang w:val="en-US"/>
        </w:rPr>
        <w:t>he ecological advantage is rated</w:t>
      </w:r>
      <w:r w:rsidR="00945408">
        <w:rPr>
          <w:lang w:val="en-US"/>
        </w:rPr>
        <w:t xml:space="preserve"> as positive </w:t>
      </w:r>
      <w:r w:rsidR="00945408" w:rsidRPr="00971BFE">
        <w:rPr>
          <w:lang w:val="en-US"/>
        </w:rPr>
        <w:t>for all business models</w:t>
      </w:r>
      <w:r w:rsidR="00945408">
        <w:rPr>
          <w:lang w:val="en-US"/>
        </w:rPr>
        <w:t>, t</w:t>
      </w:r>
      <w:r w:rsidR="008B33FC">
        <w:rPr>
          <w:lang w:val="en-US"/>
        </w:rPr>
        <w:t xml:space="preserve">he </w:t>
      </w:r>
      <w:r w:rsidR="00945408">
        <w:rPr>
          <w:lang w:val="en-US"/>
        </w:rPr>
        <w:t xml:space="preserve">benefits </w:t>
      </w:r>
      <w:r w:rsidR="008B33FC">
        <w:rPr>
          <w:lang w:val="en-US"/>
        </w:rPr>
        <w:t xml:space="preserve">generated </w:t>
      </w:r>
      <w:r w:rsidR="00945408">
        <w:rPr>
          <w:lang w:val="en-US"/>
        </w:rPr>
        <w:t>by</w:t>
      </w:r>
      <w:r w:rsidR="008B33FC">
        <w:rPr>
          <w:lang w:val="en-US"/>
        </w:rPr>
        <w:t xml:space="preserve"> the business models from </w:t>
      </w:r>
      <w:r w:rsidR="00945408">
        <w:rPr>
          <w:lang w:val="en-US"/>
        </w:rPr>
        <w:t>a</w:t>
      </w:r>
      <w:r w:rsidR="008B33FC">
        <w:rPr>
          <w:lang w:val="en-US"/>
        </w:rPr>
        <w:t xml:space="preserve"> </w:t>
      </w:r>
      <w:r w:rsidR="008B33FC">
        <w:rPr>
          <w:lang w:val="en-US"/>
        </w:rPr>
        <w:t>provider</w:t>
      </w:r>
      <w:r w:rsidR="00945408">
        <w:rPr>
          <w:lang w:val="en-US"/>
        </w:rPr>
        <w:t xml:space="preserve">’s </w:t>
      </w:r>
      <w:r w:rsidR="00B07665">
        <w:rPr>
          <w:lang w:val="en-US"/>
        </w:rPr>
        <w:t>perspective</w:t>
      </w:r>
      <w:r w:rsidR="008B33FC">
        <w:rPr>
          <w:lang w:val="en-US"/>
        </w:rPr>
        <w:t xml:space="preserve"> </w:t>
      </w:r>
      <w:r w:rsidR="00945408">
        <w:rPr>
          <w:lang w:val="en-US"/>
        </w:rPr>
        <w:t>are</w:t>
      </w:r>
      <w:r w:rsidR="008B33FC">
        <w:rPr>
          <w:lang w:val="en-US"/>
        </w:rPr>
        <w:t xml:space="preserve"> </w:t>
      </w:r>
      <w:r w:rsidR="00945408">
        <w:rPr>
          <w:lang w:val="en-US"/>
        </w:rPr>
        <w:t>assessed</w:t>
      </w:r>
      <w:r w:rsidR="008B33FC">
        <w:rPr>
          <w:lang w:val="en-US"/>
        </w:rPr>
        <w:t xml:space="preserve"> more critically</w:t>
      </w:r>
      <w:r w:rsidR="00945408">
        <w:rPr>
          <w:lang w:val="en-US"/>
        </w:rPr>
        <w:t xml:space="preserve"> in general</w:t>
      </w:r>
      <w:r w:rsidR="008B33FC">
        <w:rPr>
          <w:lang w:val="en-US"/>
        </w:rPr>
        <w:t>.</w:t>
      </w:r>
      <w:r w:rsidR="00945408">
        <w:rPr>
          <w:lang w:val="en-US"/>
        </w:rPr>
        <w:t xml:space="preserve"> </w:t>
      </w:r>
      <w:r w:rsidR="00971BFE">
        <w:rPr>
          <w:lang w:val="en-US"/>
        </w:rPr>
        <w:t xml:space="preserve">Only </w:t>
      </w:r>
      <w:r w:rsidR="00945408">
        <w:rPr>
          <w:lang w:val="en-US"/>
        </w:rPr>
        <w:t>in the case of</w:t>
      </w:r>
      <w:r w:rsidR="00971BFE">
        <w:rPr>
          <w:lang w:val="en-US"/>
        </w:rPr>
        <w:t xml:space="preserve"> </w:t>
      </w:r>
      <w:r w:rsidR="00971BFE" w:rsidRPr="00945408">
        <w:rPr>
          <w:i/>
          <w:iCs/>
          <w:lang w:val="en-US"/>
        </w:rPr>
        <w:t>Lease</w:t>
      </w:r>
      <w:r w:rsidR="00971BFE">
        <w:rPr>
          <w:lang w:val="en-US"/>
        </w:rPr>
        <w:t xml:space="preserve"> and </w:t>
      </w:r>
      <w:r w:rsidR="00971BFE" w:rsidRPr="00945408">
        <w:rPr>
          <w:i/>
          <w:iCs/>
          <w:lang w:val="en-US"/>
        </w:rPr>
        <w:t>EaaS</w:t>
      </w:r>
      <w:r w:rsidR="00971BFE">
        <w:rPr>
          <w:lang w:val="en-US"/>
        </w:rPr>
        <w:t>,</w:t>
      </w:r>
      <w:r w:rsidR="00945408">
        <w:rPr>
          <w:lang w:val="en-US"/>
        </w:rPr>
        <w:t xml:space="preserve"> most</w:t>
      </w:r>
      <w:r w:rsidR="00971BFE">
        <w:rPr>
          <w:lang w:val="en-US"/>
        </w:rPr>
        <w:t xml:space="preserve"> experts agree or completely agree that the business models are potentially lucrative</w:t>
      </w:r>
      <w:r w:rsidR="00B07665">
        <w:rPr>
          <w:lang w:val="en-US"/>
        </w:rPr>
        <w:t>;</w:t>
      </w:r>
      <w:r w:rsidR="00971BFE">
        <w:rPr>
          <w:lang w:val="en-US"/>
        </w:rPr>
        <w:t xml:space="preserve"> </w:t>
      </w:r>
      <w:r w:rsidR="00971BFE" w:rsidRPr="00945408">
        <w:rPr>
          <w:i/>
          <w:iCs/>
          <w:lang w:val="en-US"/>
        </w:rPr>
        <w:t>Flex</w:t>
      </w:r>
      <w:r w:rsidR="00971BFE">
        <w:rPr>
          <w:lang w:val="en-US"/>
        </w:rPr>
        <w:t xml:space="preserve"> and </w:t>
      </w:r>
      <w:r w:rsidR="00971BFE" w:rsidRPr="00945408">
        <w:rPr>
          <w:i/>
          <w:iCs/>
          <w:lang w:val="en-US"/>
        </w:rPr>
        <w:t>P2P</w:t>
      </w:r>
      <w:r w:rsidR="00971BFE">
        <w:rPr>
          <w:lang w:val="en-US"/>
        </w:rPr>
        <w:t xml:space="preserve"> are </w:t>
      </w:r>
      <w:r w:rsidR="00945408">
        <w:rPr>
          <w:lang w:val="en-US"/>
        </w:rPr>
        <w:t>viewed</w:t>
      </w:r>
      <w:r w:rsidR="00971BFE">
        <w:rPr>
          <w:lang w:val="en-US"/>
        </w:rPr>
        <w:t xml:space="preserve"> most critically in this regard. F</w:t>
      </w:r>
      <w:r w:rsidR="00945408">
        <w:rPr>
          <w:lang w:val="en-US"/>
        </w:rPr>
        <w:t xml:space="preserve">inally, </w:t>
      </w:r>
      <w:r w:rsidR="00945408">
        <w:rPr>
          <w:lang w:val="en-US"/>
        </w:rPr>
        <w:t xml:space="preserve">for an overall assessment of </w:t>
      </w:r>
      <w:r w:rsidR="00945408">
        <w:rPr>
          <w:lang w:val="en-US"/>
        </w:rPr>
        <w:t xml:space="preserve">the </w:t>
      </w:r>
      <w:r w:rsidR="00945408">
        <w:rPr>
          <w:lang w:val="en-US"/>
        </w:rPr>
        <w:t>business models</w:t>
      </w:r>
      <w:r w:rsidR="00B07665">
        <w:rPr>
          <w:lang w:val="en-US"/>
        </w:rPr>
        <w:t xml:space="preserve"> </w:t>
      </w:r>
      <w:r w:rsidR="00B07665">
        <w:rPr>
          <w:lang w:val="en-US"/>
        </w:rPr>
        <w:t>a weighted score is derived</w:t>
      </w:r>
      <w:r w:rsidR="00945408">
        <w:rPr>
          <w:lang w:val="en-US"/>
        </w:rPr>
        <w:t>,</w:t>
      </w:r>
      <w:r w:rsidR="00971BFE">
        <w:rPr>
          <w:lang w:val="en-US"/>
        </w:rPr>
        <w:t xml:space="preserve"> excluding items </w:t>
      </w:r>
      <w:r w:rsidR="00B07665">
        <w:rPr>
          <w:lang w:val="en-US"/>
        </w:rPr>
        <w:t>having</w:t>
      </w:r>
      <w:r w:rsidR="00971BFE">
        <w:rPr>
          <w:lang w:val="en-US"/>
        </w:rPr>
        <w:t xml:space="preserve"> a low correlation </w:t>
      </w:r>
      <w:r w:rsidR="00945408">
        <w:rPr>
          <w:lang w:val="en-US"/>
        </w:rPr>
        <w:t>to</w:t>
      </w:r>
      <w:r w:rsidR="00971BFE">
        <w:rPr>
          <w:lang w:val="en-US"/>
        </w:rPr>
        <w:t xml:space="preserve"> the overall scale. </w:t>
      </w:r>
      <w:r w:rsidR="00971BFE">
        <w:rPr>
          <w:rStyle w:val="rynqvb"/>
          <w:lang w:val="en"/>
        </w:rPr>
        <w:t xml:space="preserve">In </w:t>
      </w:r>
      <w:r w:rsidR="00B07665">
        <w:rPr>
          <w:rStyle w:val="rynqvb"/>
          <w:lang w:val="en"/>
        </w:rPr>
        <w:t>this</w:t>
      </w:r>
      <w:r w:rsidR="00971BFE">
        <w:rPr>
          <w:rStyle w:val="rynqvb"/>
          <w:lang w:val="en"/>
        </w:rPr>
        <w:t xml:space="preserve"> overall </w:t>
      </w:r>
      <w:r w:rsidR="00B07665">
        <w:rPr>
          <w:rStyle w:val="rynqvb"/>
          <w:lang w:val="en"/>
        </w:rPr>
        <w:t>assessment</w:t>
      </w:r>
      <w:r w:rsidR="00971BFE">
        <w:rPr>
          <w:rStyle w:val="rynqvb"/>
          <w:lang w:val="en"/>
        </w:rPr>
        <w:t xml:space="preserve">, the </w:t>
      </w:r>
      <w:r w:rsidR="00971BFE" w:rsidRPr="00945408">
        <w:rPr>
          <w:rStyle w:val="rynqvb"/>
          <w:i/>
          <w:iCs/>
          <w:lang w:val="en"/>
        </w:rPr>
        <w:t>Invest</w:t>
      </w:r>
      <w:r w:rsidR="00971BFE">
        <w:rPr>
          <w:rStyle w:val="rynqvb"/>
          <w:lang w:val="en"/>
        </w:rPr>
        <w:t xml:space="preserve"> </w:t>
      </w:r>
      <w:r w:rsidR="009B33F3">
        <w:rPr>
          <w:rStyle w:val="rynqvb"/>
          <w:lang w:val="en"/>
        </w:rPr>
        <w:t>(</w:t>
      </w:r>
      <m:oMath>
        <m:r>
          <w:rPr>
            <w:rFonts w:ascii="Cambria Math" w:hAnsi="Cambria Math" w:cs="Arial"/>
            <w:lang w:val="en-US"/>
          </w:rPr>
          <m:t>μ=3.53</m:t>
        </m:r>
      </m:oMath>
      <w:r w:rsidR="009B33F3">
        <w:rPr>
          <w:rStyle w:val="rynqvb"/>
          <w:lang w:val="en"/>
        </w:rPr>
        <w:t xml:space="preserve">) </w:t>
      </w:r>
      <w:r w:rsidR="00971BFE">
        <w:rPr>
          <w:rStyle w:val="rynqvb"/>
          <w:lang w:val="en"/>
        </w:rPr>
        <w:t xml:space="preserve">business model </w:t>
      </w:r>
      <w:r w:rsidR="00945408">
        <w:rPr>
          <w:rStyle w:val="rynqvb"/>
          <w:lang w:val="en"/>
        </w:rPr>
        <w:t>performs</w:t>
      </w:r>
      <w:r w:rsidR="00971BFE">
        <w:rPr>
          <w:rStyle w:val="rynqvb"/>
          <w:lang w:val="en"/>
        </w:rPr>
        <w:t xml:space="preserve"> best</w:t>
      </w:r>
      <w:r w:rsidR="00945408">
        <w:rPr>
          <w:rStyle w:val="rynqvb"/>
          <w:lang w:val="en"/>
        </w:rPr>
        <w:t>,</w:t>
      </w:r>
      <w:r w:rsidR="00971BFE">
        <w:rPr>
          <w:rStyle w:val="rynqvb"/>
          <w:lang w:val="en"/>
        </w:rPr>
        <w:t xml:space="preserve"> while </w:t>
      </w:r>
      <w:r w:rsidR="00971BFE" w:rsidRPr="00945408">
        <w:rPr>
          <w:rStyle w:val="rynqvb"/>
          <w:i/>
          <w:iCs/>
          <w:lang w:val="en"/>
        </w:rPr>
        <w:t>Lease</w:t>
      </w:r>
      <w:r w:rsidR="00971BFE">
        <w:rPr>
          <w:rStyle w:val="rynqvb"/>
          <w:lang w:val="en"/>
        </w:rPr>
        <w:t xml:space="preserve"> </w:t>
      </w:r>
      <w:r w:rsidR="00945408">
        <w:rPr>
          <w:rStyle w:val="rynqvb"/>
          <w:lang w:val="en"/>
        </w:rPr>
        <w:t>receives</w:t>
      </w:r>
      <w:r w:rsidR="00971BFE">
        <w:rPr>
          <w:rStyle w:val="rynqvb"/>
          <w:lang w:val="en"/>
        </w:rPr>
        <w:t xml:space="preserve"> the lowest </w:t>
      </w:r>
      <w:r w:rsidR="00945408">
        <w:rPr>
          <w:rStyle w:val="rynqvb"/>
          <w:lang w:val="en"/>
        </w:rPr>
        <w:t>score</w:t>
      </w:r>
      <w:r w:rsidR="00971BFE">
        <w:rPr>
          <w:rStyle w:val="rynqvb"/>
          <w:lang w:val="en"/>
        </w:rPr>
        <w:t>.</w:t>
      </w:r>
    </w:p>
    <w:p w14:paraId="582850A6" w14:textId="77777777" w:rsidR="00164518" w:rsidRDefault="00164518" w:rsidP="00227125">
      <w:pPr>
        <w:rPr>
          <w:lang w:val="en-US"/>
        </w:rPr>
      </w:pPr>
    </w:p>
    <w:p w14:paraId="0B48D500" w14:textId="77777777" w:rsidR="005F0CF8" w:rsidRPr="009A4243" w:rsidRDefault="005F0CF8" w:rsidP="00227125">
      <w:pPr>
        <w:rPr>
          <w:lang w:val="en-US"/>
        </w:rPr>
      </w:pPr>
    </w:p>
    <w:p w14:paraId="7C979CC1" w14:textId="77777777" w:rsidR="002946B8" w:rsidRPr="009A4243" w:rsidRDefault="002946B8" w:rsidP="00227125">
      <w:pPr>
        <w:rPr>
          <w:lang w:val="en-US"/>
        </w:rPr>
      </w:pPr>
    </w:p>
    <w:p w14:paraId="54DD896C" w14:textId="77777777" w:rsidR="008B7749" w:rsidRDefault="008B7749" w:rsidP="00A156E4">
      <w:pPr>
        <w:pStyle w:val="Ueberschrift"/>
        <w:rPr>
          <w:lang w:val="en-US"/>
        </w:rPr>
      </w:pPr>
      <w:bookmarkStart w:id="0" w:name="_Toc26086066"/>
      <w:bookmarkStart w:id="1" w:name="_Toc68418491"/>
    </w:p>
    <w:p w14:paraId="5F6585A8" w14:textId="18D23F92" w:rsidR="005E4D4F" w:rsidRPr="009A4243" w:rsidRDefault="005E4D4F" w:rsidP="00A156E4">
      <w:pPr>
        <w:pStyle w:val="Ueberschrift"/>
        <w:rPr>
          <w:lang w:val="en-US"/>
        </w:rPr>
      </w:pPr>
      <w:proofErr w:type="spellStart"/>
      <w:r w:rsidRPr="009A4243">
        <w:rPr>
          <w:lang w:val="en-US"/>
        </w:rPr>
        <w:lastRenderedPageBreak/>
        <w:t>Literatur</w:t>
      </w:r>
      <w:bookmarkEnd w:id="0"/>
      <w:bookmarkEnd w:id="1"/>
      <w:proofErr w:type="spellEnd"/>
    </w:p>
    <w:p w14:paraId="71E0623B" w14:textId="3B0B3F34" w:rsidR="008B7749" w:rsidRPr="008B7749" w:rsidRDefault="00146EC0" w:rsidP="008B7749">
      <w:pPr>
        <w:pStyle w:val="CitaviLiteraturverzeichnis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2F7FF2">
        <w:rPr>
          <w:rFonts w:ascii="Arial" w:eastAsia="Segoe UI" w:hAnsi="Arial" w:cs="Arial"/>
          <w:sz w:val="20"/>
          <w:szCs w:val="20"/>
          <w:lang w:val="en-US"/>
        </w:rPr>
        <w:t>Golla</w:t>
      </w:r>
      <w:proofErr w:type="spellEnd"/>
      <w:r w:rsidRPr="002F7FF2">
        <w:rPr>
          <w:rFonts w:ascii="Arial" w:eastAsia="Segoe UI" w:hAnsi="Arial" w:cs="Arial"/>
          <w:sz w:val="20"/>
          <w:szCs w:val="20"/>
          <w:lang w:val="en-US"/>
        </w:rPr>
        <w:t xml:space="preserve">, Armin; </w:t>
      </w:r>
      <w:proofErr w:type="spellStart"/>
      <w:r w:rsidRPr="002F7FF2">
        <w:rPr>
          <w:rFonts w:ascii="Arial" w:eastAsia="Segoe UI" w:hAnsi="Arial" w:cs="Arial"/>
          <w:sz w:val="20"/>
          <w:szCs w:val="20"/>
          <w:lang w:val="en-US"/>
        </w:rPr>
        <w:t>Röhrig</w:t>
      </w:r>
      <w:proofErr w:type="spellEnd"/>
      <w:r w:rsidRPr="002F7FF2">
        <w:rPr>
          <w:rFonts w:ascii="Arial" w:eastAsia="Segoe UI" w:hAnsi="Arial" w:cs="Arial"/>
          <w:sz w:val="20"/>
          <w:szCs w:val="20"/>
          <w:lang w:val="en-US"/>
        </w:rPr>
        <w:t xml:space="preserve">, Nicole; Staudt, Philipp; Weinhardt, Christof (2022): Evaluating the impact of regulation on the path of electrification in Citizen Energy Communities with prosumer investment. In: </w:t>
      </w:r>
      <w:r w:rsidRPr="002F7FF2">
        <w:rPr>
          <w:rFonts w:ascii="Arial" w:eastAsia="Segoe UI" w:hAnsi="Arial" w:cs="Arial"/>
          <w:i/>
          <w:iCs/>
          <w:sz w:val="20"/>
          <w:szCs w:val="20"/>
          <w:lang w:val="en-US"/>
        </w:rPr>
        <w:t xml:space="preserve">Applied Energy </w:t>
      </w:r>
      <w:r w:rsidRPr="002F7FF2">
        <w:rPr>
          <w:rFonts w:ascii="Arial" w:eastAsia="Segoe UI" w:hAnsi="Arial" w:cs="Arial"/>
          <w:sz w:val="20"/>
          <w:szCs w:val="20"/>
          <w:lang w:val="en-US"/>
        </w:rPr>
        <w:t>319, S. 119241. DOI: 10.1016/j.apenergy.2022.119241.</w:t>
      </w:r>
    </w:p>
    <w:p w14:paraId="168B7145" w14:textId="77777777" w:rsidR="00CC137A" w:rsidRPr="002F7FF2" w:rsidRDefault="00146EC0" w:rsidP="008474BF">
      <w:pPr>
        <w:numPr>
          <w:ilvl w:val="0"/>
          <w:numId w:val="5"/>
        </w:numPr>
        <w:spacing w:after="120"/>
        <w:jc w:val="left"/>
        <w:rPr>
          <w:rFonts w:cs="Arial"/>
          <w:szCs w:val="20"/>
          <w:lang w:eastAsia="de-DE"/>
        </w:rPr>
      </w:pPr>
      <w:r w:rsidRPr="002F7FF2">
        <w:rPr>
          <w:rFonts w:eastAsia="Segoe UI" w:cs="Arial"/>
          <w:szCs w:val="20"/>
          <w:lang w:eastAsia="de-DE"/>
        </w:rPr>
        <w:t xml:space="preserve">Wiesenthal, Jan; Aretz, Astrid; </w:t>
      </w:r>
      <w:proofErr w:type="spellStart"/>
      <w:r w:rsidRPr="002F7FF2">
        <w:rPr>
          <w:rFonts w:eastAsia="Segoe UI" w:cs="Arial"/>
          <w:szCs w:val="20"/>
          <w:lang w:eastAsia="de-DE"/>
        </w:rPr>
        <w:t>Ouanes</w:t>
      </w:r>
      <w:proofErr w:type="spellEnd"/>
      <w:r w:rsidRPr="002F7FF2">
        <w:rPr>
          <w:rFonts w:eastAsia="Segoe UI" w:cs="Arial"/>
          <w:szCs w:val="20"/>
          <w:lang w:eastAsia="de-DE"/>
        </w:rPr>
        <w:t xml:space="preserve">, </w:t>
      </w:r>
      <w:proofErr w:type="spellStart"/>
      <w:r w:rsidRPr="002F7FF2">
        <w:rPr>
          <w:rFonts w:eastAsia="Segoe UI" w:cs="Arial"/>
          <w:szCs w:val="20"/>
          <w:lang w:eastAsia="de-DE"/>
        </w:rPr>
        <w:t>Nesrine</w:t>
      </w:r>
      <w:proofErr w:type="spellEnd"/>
      <w:r w:rsidRPr="002F7FF2">
        <w:rPr>
          <w:rFonts w:eastAsia="Segoe UI" w:cs="Arial"/>
          <w:szCs w:val="20"/>
          <w:lang w:eastAsia="de-DE"/>
        </w:rPr>
        <w:t>; Petrick, Kristian (2022): Energy Sharing: Eine Potenzialanalyse. Institut für ökologische Wirtschaftsforschung (IÖW). Berlin.</w:t>
      </w:r>
    </w:p>
    <w:p w14:paraId="0C0D2F8D" w14:textId="3F435E74" w:rsidR="007A2389" w:rsidRPr="002F7FF2" w:rsidRDefault="007A2389" w:rsidP="008474BF">
      <w:pPr>
        <w:numPr>
          <w:ilvl w:val="0"/>
          <w:numId w:val="5"/>
        </w:numPr>
        <w:spacing w:after="120"/>
        <w:jc w:val="left"/>
        <w:rPr>
          <w:rFonts w:cs="Arial"/>
          <w:szCs w:val="20"/>
          <w:lang w:val="en-US" w:eastAsia="de-DE"/>
        </w:rPr>
      </w:pPr>
      <w:r w:rsidRPr="002F7FF2">
        <w:rPr>
          <w:rFonts w:eastAsia="Segoe UI" w:cs="Arial"/>
          <w:szCs w:val="20"/>
          <w:lang w:val="en-US" w:eastAsia="de-DE"/>
        </w:rPr>
        <w:t xml:space="preserve">Ableitner, Liliane; </w:t>
      </w:r>
      <w:proofErr w:type="spellStart"/>
      <w:r w:rsidRPr="002F7FF2">
        <w:rPr>
          <w:rFonts w:eastAsia="Segoe UI" w:cs="Arial"/>
          <w:szCs w:val="20"/>
          <w:lang w:val="en-US" w:eastAsia="de-DE"/>
        </w:rPr>
        <w:t>Tiefenbeck</w:t>
      </w:r>
      <w:proofErr w:type="spellEnd"/>
      <w:r w:rsidRPr="002F7FF2">
        <w:rPr>
          <w:rFonts w:eastAsia="Segoe UI" w:cs="Arial"/>
          <w:szCs w:val="20"/>
          <w:lang w:val="en-US" w:eastAsia="de-DE"/>
        </w:rPr>
        <w:t xml:space="preserve">, Verena; </w:t>
      </w:r>
      <w:proofErr w:type="spellStart"/>
      <w:r w:rsidRPr="002F7FF2">
        <w:rPr>
          <w:rFonts w:eastAsia="Segoe UI" w:cs="Arial"/>
          <w:szCs w:val="20"/>
          <w:lang w:val="en-US" w:eastAsia="de-DE"/>
        </w:rPr>
        <w:t>Meeuw</w:t>
      </w:r>
      <w:proofErr w:type="spellEnd"/>
      <w:r w:rsidRPr="002F7FF2">
        <w:rPr>
          <w:rFonts w:eastAsia="Segoe UI" w:cs="Arial"/>
          <w:szCs w:val="20"/>
          <w:lang w:val="en-US" w:eastAsia="de-DE"/>
        </w:rPr>
        <w:t xml:space="preserve">, Arne; </w:t>
      </w:r>
      <w:proofErr w:type="spellStart"/>
      <w:r w:rsidRPr="002F7FF2">
        <w:rPr>
          <w:rFonts w:eastAsia="Segoe UI" w:cs="Arial"/>
          <w:szCs w:val="20"/>
          <w:lang w:val="en-US" w:eastAsia="de-DE"/>
        </w:rPr>
        <w:t>Wörner</w:t>
      </w:r>
      <w:proofErr w:type="spellEnd"/>
      <w:r w:rsidRPr="002F7FF2">
        <w:rPr>
          <w:rFonts w:eastAsia="Segoe UI" w:cs="Arial"/>
          <w:szCs w:val="20"/>
          <w:lang w:val="en-US" w:eastAsia="de-DE"/>
        </w:rPr>
        <w:t xml:space="preserve">, Anselma; </w:t>
      </w:r>
      <w:proofErr w:type="spellStart"/>
      <w:r w:rsidRPr="002F7FF2">
        <w:rPr>
          <w:rFonts w:eastAsia="Segoe UI" w:cs="Arial"/>
          <w:szCs w:val="20"/>
          <w:lang w:val="en-US" w:eastAsia="de-DE"/>
        </w:rPr>
        <w:t>Fleisch</w:t>
      </w:r>
      <w:proofErr w:type="spellEnd"/>
      <w:r w:rsidRPr="002F7FF2">
        <w:rPr>
          <w:rFonts w:eastAsia="Segoe UI" w:cs="Arial"/>
          <w:szCs w:val="20"/>
          <w:lang w:val="en-US" w:eastAsia="de-DE"/>
        </w:rPr>
        <w:t xml:space="preserve">, Elgar; Wortmann, Felix (2020): User behavior in a real-world peer-to-peer electricity market. In: </w:t>
      </w:r>
      <w:r w:rsidRPr="002F7FF2">
        <w:rPr>
          <w:rFonts w:eastAsia="Segoe UI" w:cs="Arial"/>
          <w:i/>
          <w:iCs/>
          <w:szCs w:val="20"/>
          <w:lang w:val="en-US" w:eastAsia="de-DE"/>
        </w:rPr>
        <w:t xml:space="preserve">Applied Energy </w:t>
      </w:r>
      <w:r w:rsidRPr="002F7FF2">
        <w:rPr>
          <w:rFonts w:eastAsia="Segoe UI" w:cs="Arial"/>
          <w:szCs w:val="20"/>
          <w:lang w:val="en-US" w:eastAsia="de-DE"/>
        </w:rPr>
        <w:t>270, S. 115061. DOI: 10.1016/j.apenergy.2020.115061.</w:t>
      </w:r>
    </w:p>
    <w:p w14:paraId="05138279" w14:textId="77777777" w:rsidR="007A2389" w:rsidRPr="002F7FF2" w:rsidRDefault="007A2389" w:rsidP="008474BF">
      <w:pPr>
        <w:numPr>
          <w:ilvl w:val="0"/>
          <w:numId w:val="5"/>
        </w:numPr>
        <w:spacing w:after="120"/>
        <w:jc w:val="left"/>
        <w:rPr>
          <w:rFonts w:cs="Arial"/>
          <w:szCs w:val="20"/>
          <w:lang w:val="en-US" w:eastAsia="de-DE"/>
        </w:rPr>
      </w:pPr>
      <w:r w:rsidRPr="002F7FF2">
        <w:rPr>
          <w:rFonts w:eastAsia="Segoe UI" w:cs="Arial"/>
          <w:szCs w:val="20"/>
          <w:lang w:val="en-US" w:eastAsia="de-DE"/>
        </w:rPr>
        <w:t xml:space="preserve">Richter, Bent; Staudt, Philipp; Weinhardt, Christof (2022): Citizen Energy Communities - Insights </w:t>
      </w:r>
      <w:proofErr w:type="gramStart"/>
      <w:r w:rsidRPr="002F7FF2">
        <w:rPr>
          <w:rFonts w:eastAsia="Segoe UI" w:cs="Arial"/>
          <w:szCs w:val="20"/>
          <w:lang w:val="en-US" w:eastAsia="de-DE"/>
        </w:rPr>
        <w:t>Into</w:t>
      </w:r>
      <w:proofErr w:type="gramEnd"/>
      <w:r w:rsidRPr="002F7FF2">
        <w:rPr>
          <w:rFonts w:eastAsia="Segoe UI" w:cs="Arial"/>
          <w:szCs w:val="20"/>
          <w:lang w:val="en-US" w:eastAsia="de-DE"/>
        </w:rPr>
        <w:t xml:space="preserve"> Long-Term Participant Behavior From a Field Study.</w:t>
      </w:r>
    </w:p>
    <w:p w14:paraId="4A85C429" w14:textId="77777777" w:rsidR="00146EC0" w:rsidRPr="00146EC0" w:rsidRDefault="00146EC0" w:rsidP="00E22D5A">
      <w:pPr>
        <w:pStyle w:val="CitaviLiteraturverzeichnis"/>
        <w:ind w:left="360"/>
        <w:rPr>
          <w:rFonts w:ascii="Arial" w:hAnsi="Arial" w:cs="Arial"/>
          <w:lang w:val="en-US"/>
        </w:rPr>
      </w:pPr>
    </w:p>
    <w:p w14:paraId="642A1EC2" w14:textId="432651B7" w:rsidR="00146EC0" w:rsidRPr="00146EC0" w:rsidRDefault="00146EC0" w:rsidP="006B6B8F">
      <w:pPr>
        <w:pStyle w:val="CitaviLiteraturverzeichnis"/>
        <w:spacing w:after="0" w:line="240" w:lineRule="atLeast"/>
        <w:ind w:left="284" w:hanging="284"/>
        <w:jc w:val="both"/>
        <w:rPr>
          <w:rFonts w:ascii="Arial" w:hAnsi="Arial" w:cs="Arial"/>
          <w:lang w:val="en-US"/>
        </w:rPr>
      </w:pPr>
    </w:p>
    <w:p w14:paraId="103E4E7A" w14:textId="6979CAB2" w:rsidR="005E4D4F" w:rsidRDefault="00EE5659" w:rsidP="00EE5659">
      <w:pPr>
        <w:pStyle w:val="Literatur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5965145" wp14:editId="0BD79B9F">
            <wp:extent cx="5060119" cy="2481287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hnic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119" cy="248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207C1" w14:textId="0CDF6E29" w:rsidR="00EE5659" w:rsidRPr="002F7FF2" w:rsidRDefault="00F86D45" w:rsidP="00EE5659">
      <w:pPr>
        <w:pStyle w:val="Literatur"/>
        <w:jc w:val="center"/>
        <w:rPr>
          <w:i/>
          <w:iCs/>
          <w:lang w:val="en-US"/>
        </w:rPr>
      </w:pPr>
      <w:r w:rsidRPr="002F7FF2">
        <w:rPr>
          <w:i/>
          <w:iCs/>
          <w:lang w:val="en-US"/>
        </w:rPr>
        <w:t>Figure 1: Expert answers to Item 8: "It is possible to offer the business model on the market, since enough potential customers have the necessary technical requirements." (Numbers in percent)</w:t>
      </w:r>
    </w:p>
    <w:p w14:paraId="6F66BCA2" w14:textId="535F8950" w:rsidR="00F86D45" w:rsidRDefault="00F86D45" w:rsidP="00EE5659">
      <w:pPr>
        <w:pStyle w:val="Literatur"/>
        <w:jc w:val="center"/>
        <w:rPr>
          <w:lang w:val="en-US"/>
        </w:rPr>
      </w:pPr>
    </w:p>
    <w:p w14:paraId="1323A2A6" w14:textId="592372F3" w:rsidR="00F86D45" w:rsidRDefault="00F86D45" w:rsidP="00EE5659">
      <w:pPr>
        <w:pStyle w:val="Literatur"/>
        <w:jc w:val="center"/>
        <w:rPr>
          <w:lang w:val="en-US"/>
        </w:rPr>
      </w:pPr>
    </w:p>
    <w:p w14:paraId="3FFDBA68" w14:textId="760BBB28" w:rsidR="00F86D45" w:rsidRDefault="00F86D45" w:rsidP="00EE5659">
      <w:pPr>
        <w:pStyle w:val="Literatur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DC67370" wp14:editId="41AA4EB8">
            <wp:extent cx="5041829" cy="2292295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829" cy="229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06DAA" w14:textId="1C372CCE" w:rsidR="00F86D45" w:rsidRPr="002F7FF2" w:rsidRDefault="00F86D45" w:rsidP="00F86D45">
      <w:pPr>
        <w:pStyle w:val="Literatur"/>
        <w:jc w:val="center"/>
        <w:rPr>
          <w:i/>
          <w:iCs/>
          <w:lang w:val="en-US"/>
        </w:rPr>
      </w:pPr>
      <w:r w:rsidRPr="002F7FF2">
        <w:rPr>
          <w:i/>
          <w:iCs/>
          <w:lang w:val="en-US"/>
        </w:rPr>
        <w:t>Figure 2: Expert answers to Item 1: "The business model is expected to generate significant</w:t>
      </w:r>
    </w:p>
    <w:p w14:paraId="0AA81797" w14:textId="3E15F8EC" w:rsidR="00F86D45" w:rsidRPr="002F7FF2" w:rsidRDefault="00F86D45" w:rsidP="00F86D45">
      <w:pPr>
        <w:pStyle w:val="Literatur"/>
        <w:jc w:val="center"/>
        <w:rPr>
          <w:i/>
          <w:iCs/>
          <w:lang w:val="en-US"/>
        </w:rPr>
      </w:pPr>
      <w:r w:rsidRPr="002F7FF2">
        <w:rPr>
          <w:i/>
          <w:iCs/>
          <w:lang w:val="en-US"/>
        </w:rPr>
        <w:t>cost savings or other financial incentives for customers." (Numbers in percent)</w:t>
      </w:r>
    </w:p>
    <w:p w14:paraId="3B17DEC0" w14:textId="77777777" w:rsidR="00F86D45" w:rsidRPr="00146EC0" w:rsidRDefault="00F86D45" w:rsidP="00EE5659">
      <w:pPr>
        <w:pStyle w:val="Literatur"/>
        <w:jc w:val="center"/>
        <w:rPr>
          <w:lang w:val="en-US"/>
        </w:rPr>
      </w:pPr>
    </w:p>
    <w:sectPr w:rsidR="00F86D45" w:rsidRPr="00146E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FE5D" w14:textId="77777777" w:rsidR="00ED131C" w:rsidRDefault="00ED131C">
      <w:r>
        <w:separator/>
      </w:r>
    </w:p>
  </w:endnote>
  <w:endnote w:type="continuationSeparator" w:id="0">
    <w:p w14:paraId="0F32A46B" w14:textId="77777777" w:rsidR="00ED131C" w:rsidRDefault="00ED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6EB9" w14:textId="77777777" w:rsidR="00ED131C" w:rsidRDefault="00ED131C">
      <w:r>
        <w:separator/>
      </w:r>
    </w:p>
  </w:footnote>
  <w:footnote w:type="continuationSeparator" w:id="0">
    <w:p w14:paraId="4DC340E3" w14:textId="77777777" w:rsidR="00ED131C" w:rsidRDefault="00ED131C">
      <w:r>
        <w:continuationSeparator/>
      </w:r>
    </w:p>
  </w:footnote>
  <w:footnote w:id="1">
    <w:p w14:paraId="1533DD5F" w14:textId="0BC36A99" w:rsidR="00D53E86" w:rsidRPr="00FB69AE" w:rsidRDefault="00D53E86" w:rsidP="002014D3">
      <w:r w:rsidRPr="00A115D2">
        <w:rPr>
          <w:rStyle w:val="Funotenzeichen"/>
        </w:rPr>
        <w:footnoteRef/>
      </w:r>
      <w:r w:rsidRPr="00D53E86">
        <w:t xml:space="preserve"> </w:t>
      </w:r>
      <w:r w:rsidR="00A05284">
        <w:t xml:space="preserve">Jungautorin, </w:t>
      </w:r>
      <w:r w:rsidR="008D02B5" w:rsidRPr="008D02B5">
        <w:t>Kaiserstraße 89, 76133 Karlsruhe</w:t>
      </w:r>
      <w:r w:rsidR="00E520E6">
        <w:t xml:space="preserve">, </w:t>
      </w:r>
      <w:r w:rsidR="008D02B5" w:rsidRPr="008D02B5">
        <w:t>+49721608-48377</w:t>
      </w:r>
      <w:r w:rsidR="00A6148D">
        <w:t>,</w:t>
      </w:r>
      <w:r w:rsidR="00FD5D56">
        <w:t xml:space="preserve"> </w:t>
      </w:r>
      <w:r w:rsidR="008D02B5">
        <w:t>saskia.bluhm@kit.edu</w:t>
      </w:r>
      <w:r>
        <w:t xml:space="preserve">, </w:t>
      </w:r>
      <w:r w:rsidR="008D02B5">
        <w:t>im.iism.kit.edu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4ABF"/>
    <w:multiLevelType w:val="hybridMultilevel"/>
    <w:tmpl w:val="43C8B2EA"/>
    <w:lvl w:ilvl="0" w:tplc="1B20176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75967"/>
    <w:multiLevelType w:val="multilevel"/>
    <w:tmpl w:val="0978BA90"/>
    <w:numStyleLink w:val="Aufzhlung"/>
  </w:abstractNum>
  <w:abstractNum w:abstractNumId="4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7962983">
    <w:abstractNumId w:val="1"/>
  </w:num>
  <w:num w:numId="2" w16cid:durableId="948859282">
    <w:abstractNumId w:val="4"/>
  </w:num>
  <w:num w:numId="3" w16cid:durableId="1478379918">
    <w:abstractNumId w:val="3"/>
  </w:num>
  <w:num w:numId="4" w16cid:durableId="468866692">
    <w:abstractNumId w:val="0"/>
  </w:num>
  <w:num w:numId="5" w16cid:durableId="897593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F"/>
    <w:rsid w:val="00005056"/>
    <w:rsid w:val="00010E92"/>
    <w:rsid w:val="00013E45"/>
    <w:rsid w:val="00023108"/>
    <w:rsid w:val="000B0DFB"/>
    <w:rsid w:val="000B24E0"/>
    <w:rsid w:val="000C4D80"/>
    <w:rsid w:val="000C6F6C"/>
    <w:rsid w:val="000D4C27"/>
    <w:rsid w:val="000F3E68"/>
    <w:rsid w:val="00102AC1"/>
    <w:rsid w:val="0011651D"/>
    <w:rsid w:val="00146EC0"/>
    <w:rsid w:val="00164518"/>
    <w:rsid w:val="00176145"/>
    <w:rsid w:val="001966A6"/>
    <w:rsid w:val="001C2817"/>
    <w:rsid w:val="001D1C5F"/>
    <w:rsid w:val="002014D3"/>
    <w:rsid w:val="00203376"/>
    <w:rsid w:val="00225315"/>
    <w:rsid w:val="00227125"/>
    <w:rsid w:val="002401AA"/>
    <w:rsid w:val="00262FD5"/>
    <w:rsid w:val="002946B8"/>
    <w:rsid w:val="00295E91"/>
    <w:rsid w:val="002B71D7"/>
    <w:rsid w:val="002C0311"/>
    <w:rsid w:val="002C3E29"/>
    <w:rsid w:val="002D3C46"/>
    <w:rsid w:val="002F0842"/>
    <w:rsid w:val="002F7FF2"/>
    <w:rsid w:val="003211B2"/>
    <w:rsid w:val="0032246A"/>
    <w:rsid w:val="00325C6A"/>
    <w:rsid w:val="00335E63"/>
    <w:rsid w:val="00336006"/>
    <w:rsid w:val="0034523D"/>
    <w:rsid w:val="00350F98"/>
    <w:rsid w:val="00371869"/>
    <w:rsid w:val="0038245E"/>
    <w:rsid w:val="00390D67"/>
    <w:rsid w:val="003A202F"/>
    <w:rsid w:val="003A2070"/>
    <w:rsid w:val="003A7EFF"/>
    <w:rsid w:val="003B676F"/>
    <w:rsid w:val="003C28FE"/>
    <w:rsid w:val="003F78B2"/>
    <w:rsid w:val="004338F1"/>
    <w:rsid w:val="004355CB"/>
    <w:rsid w:val="004768D7"/>
    <w:rsid w:val="0048267B"/>
    <w:rsid w:val="00483B87"/>
    <w:rsid w:val="00484AB3"/>
    <w:rsid w:val="004B414F"/>
    <w:rsid w:val="004D2D03"/>
    <w:rsid w:val="00574DEF"/>
    <w:rsid w:val="00597D9E"/>
    <w:rsid w:val="005B1ADB"/>
    <w:rsid w:val="005C7EBD"/>
    <w:rsid w:val="005E1C16"/>
    <w:rsid w:val="005E2876"/>
    <w:rsid w:val="005E4D4F"/>
    <w:rsid w:val="005F0CF8"/>
    <w:rsid w:val="00616C56"/>
    <w:rsid w:val="00656F89"/>
    <w:rsid w:val="00690F13"/>
    <w:rsid w:val="006A3591"/>
    <w:rsid w:val="006A6FFA"/>
    <w:rsid w:val="006B6B8F"/>
    <w:rsid w:val="006C55DB"/>
    <w:rsid w:val="006D5A8A"/>
    <w:rsid w:val="006E4ABA"/>
    <w:rsid w:val="00734DE7"/>
    <w:rsid w:val="00736BFB"/>
    <w:rsid w:val="007378C8"/>
    <w:rsid w:val="00741EC0"/>
    <w:rsid w:val="007A2389"/>
    <w:rsid w:val="007E28C2"/>
    <w:rsid w:val="007F21C8"/>
    <w:rsid w:val="007F3C01"/>
    <w:rsid w:val="00803917"/>
    <w:rsid w:val="00842ECC"/>
    <w:rsid w:val="0084405A"/>
    <w:rsid w:val="0084699C"/>
    <w:rsid w:val="008474BF"/>
    <w:rsid w:val="00897C5A"/>
    <w:rsid w:val="008A4801"/>
    <w:rsid w:val="008B33FC"/>
    <w:rsid w:val="008B7749"/>
    <w:rsid w:val="008D02B5"/>
    <w:rsid w:val="008D5881"/>
    <w:rsid w:val="009040E9"/>
    <w:rsid w:val="009410D4"/>
    <w:rsid w:val="00942119"/>
    <w:rsid w:val="00945408"/>
    <w:rsid w:val="00971BFE"/>
    <w:rsid w:val="00975BFB"/>
    <w:rsid w:val="00981E8A"/>
    <w:rsid w:val="009A3A12"/>
    <w:rsid w:val="009A4030"/>
    <w:rsid w:val="009A4243"/>
    <w:rsid w:val="009B33F3"/>
    <w:rsid w:val="009B673E"/>
    <w:rsid w:val="009D2E43"/>
    <w:rsid w:val="009D53E6"/>
    <w:rsid w:val="009E3C8B"/>
    <w:rsid w:val="00A05284"/>
    <w:rsid w:val="00A07737"/>
    <w:rsid w:val="00A156E4"/>
    <w:rsid w:val="00A264BB"/>
    <w:rsid w:val="00A6148D"/>
    <w:rsid w:val="00A71B04"/>
    <w:rsid w:val="00AA57D7"/>
    <w:rsid w:val="00AC28E9"/>
    <w:rsid w:val="00AD700C"/>
    <w:rsid w:val="00AF2329"/>
    <w:rsid w:val="00B07665"/>
    <w:rsid w:val="00B33946"/>
    <w:rsid w:val="00B461C0"/>
    <w:rsid w:val="00B65727"/>
    <w:rsid w:val="00BC0591"/>
    <w:rsid w:val="00BF05FA"/>
    <w:rsid w:val="00C23B2D"/>
    <w:rsid w:val="00C74446"/>
    <w:rsid w:val="00C76671"/>
    <w:rsid w:val="00CA76B5"/>
    <w:rsid w:val="00CC137A"/>
    <w:rsid w:val="00CE1A70"/>
    <w:rsid w:val="00CE5EBF"/>
    <w:rsid w:val="00CF2661"/>
    <w:rsid w:val="00CF43E8"/>
    <w:rsid w:val="00D5035B"/>
    <w:rsid w:val="00D53E86"/>
    <w:rsid w:val="00D62563"/>
    <w:rsid w:val="00D6346F"/>
    <w:rsid w:val="00D736F8"/>
    <w:rsid w:val="00D96EAD"/>
    <w:rsid w:val="00DA272F"/>
    <w:rsid w:val="00DA487C"/>
    <w:rsid w:val="00DC5328"/>
    <w:rsid w:val="00DE0BEB"/>
    <w:rsid w:val="00E06E26"/>
    <w:rsid w:val="00E102BE"/>
    <w:rsid w:val="00E22D5A"/>
    <w:rsid w:val="00E3021F"/>
    <w:rsid w:val="00E33B44"/>
    <w:rsid w:val="00E4086E"/>
    <w:rsid w:val="00E520E6"/>
    <w:rsid w:val="00E6359E"/>
    <w:rsid w:val="00E7487F"/>
    <w:rsid w:val="00E95749"/>
    <w:rsid w:val="00ED131C"/>
    <w:rsid w:val="00EE5659"/>
    <w:rsid w:val="00EE753E"/>
    <w:rsid w:val="00EF5E51"/>
    <w:rsid w:val="00F125C8"/>
    <w:rsid w:val="00F34852"/>
    <w:rsid w:val="00F40560"/>
    <w:rsid w:val="00F41DBD"/>
    <w:rsid w:val="00F474F9"/>
    <w:rsid w:val="00F476DB"/>
    <w:rsid w:val="00F86D45"/>
    <w:rsid w:val="00FA206E"/>
    <w:rsid w:val="00FB1CFC"/>
    <w:rsid w:val="00FB69AE"/>
    <w:rsid w:val="00FD5D56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B2C5"/>
  <w15:docId w15:val="{F5C76004-4E24-4C72-B4CF-BDEA4BF0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paragraph" w:customStyle="1" w:styleId="CitaviLiteraturverzeichnis">
    <w:name w:val="Citavi Literaturverzeichnis"/>
    <w:basedOn w:val="Standard"/>
    <w:rsid w:val="006B6B8F"/>
    <w:pPr>
      <w:spacing w:after="120"/>
      <w:jc w:val="left"/>
    </w:pPr>
    <w:rPr>
      <w:rFonts w:ascii="Segoe UI" w:hAnsi="Segoe UI" w:cs="Segoe UI"/>
      <w:sz w:val="18"/>
      <w:szCs w:val="18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character" w:styleId="Kommentarzeichen">
    <w:name w:val="annotation reference"/>
    <w:uiPriority w:val="99"/>
    <w:semiHidden/>
    <w:unhideWhenUsed/>
    <w:rsid w:val="007A23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2389"/>
    <w:rPr>
      <w:szCs w:val="20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rsid w:val="007A2389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238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A2389"/>
    <w:rPr>
      <w:rFonts w:ascii="Arial" w:hAnsi="Arial"/>
      <w:b/>
      <w:bCs/>
      <w:lang w:eastAsia="ko-KR"/>
    </w:rPr>
  </w:style>
  <w:style w:type="character" w:styleId="Platzhaltertext">
    <w:name w:val="Placeholder Text"/>
    <w:basedOn w:val="Absatz-Standardschriftart"/>
    <w:uiPriority w:val="99"/>
    <w:semiHidden/>
    <w:rsid w:val="0017614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7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72F"/>
    <w:rPr>
      <w:rFonts w:ascii="Segoe UI" w:hAnsi="Segoe UI" w:cs="Segoe UI"/>
      <w:sz w:val="18"/>
      <w:szCs w:val="18"/>
      <w:lang w:eastAsia="ko-KR"/>
    </w:rPr>
  </w:style>
  <w:style w:type="character" w:customStyle="1" w:styleId="rynqvb">
    <w:name w:val="rynqvb"/>
    <w:basedOn w:val="Absatz-Standardschriftart"/>
    <w:rsid w:val="0097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429195001894493F1506CF60F0BBB" ma:contentTypeVersion="14" ma:contentTypeDescription="Create a new document." ma:contentTypeScope="" ma:versionID="2bb410ab00382a97603d55cfb8175150">
  <xsd:schema xmlns:xsd="http://www.w3.org/2001/XMLSchema" xmlns:xs="http://www.w3.org/2001/XMLSchema" xmlns:p="http://schemas.microsoft.com/office/2006/metadata/properties" xmlns:ns3="fa28d9c8-0f29-4a0d-a53c-d68a6bbcefd8" xmlns:ns4="88d78ccf-0a2c-4970-a9a5-3b768405222c" targetNamespace="http://schemas.microsoft.com/office/2006/metadata/properties" ma:root="true" ma:fieldsID="30c09901349bcb371f80450d88dda148" ns3:_="" ns4:_="">
    <xsd:import namespace="fa28d9c8-0f29-4a0d-a53c-d68a6bbcefd8"/>
    <xsd:import namespace="88d78ccf-0a2c-4970-a9a5-3b76840522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8d9c8-0f29-4a0d-a53c-d68a6bbc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78ccf-0a2c-4970-a9a5-3b7684052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37C5A-AF15-43C5-A121-DBDCF4BFA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93ECC-1318-4CA2-88EE-1A5D173BE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8d9c8-0f29-4a0d-a53c-d68a6bbcefd8"/>
    <ds:schemaRef ds:uri="88d78ccf-0a2c-4970-a9a5-3b7684052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3E514-B9B8-4468-A8A3-15223B498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dc:description/>
  <cp:lastModifiedBy>Bluhm, Saskia (IISM)</cp:lastModifiedBy>
  <cp:revision>9</cp:revision>
  <dcterms:created xsi:type="dcterms:W3CDTF">2022-11-22T09:36:00Z</dcterms:created>
  <dcterms:modified xsi:type="dcterms:W3CDTF">2022-11-22T14:48:00Z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0x010100343429195001894493F1506CF60F0BBB</vt:lpwstr>
  </property>
</Properties>
</file>