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1A21" w14:textId="285DAD0D" w:rsidR="005E4D4F" w:rsidRPr="005E4D4F" w:rsidRDefault="000D3DD3" w:rsidP="005E4D4F">
      <w:pPr>
        <w:pStyle w:val="Abstract-Titel"/>
      </w:pPr>
      <w:r>
        <w:t>Klimaziele und Versorgungssicherheit: Auswirkungen der</w:t>
      </w:r>
      <w:r w:rsidR="005B50CC">
        <w:t xml:space="preserve"> </w:t>
      </w:r>
      <w:r w:rsidR="00D66602">
        <w:t>Transformation des</w:t>
      </w:r>
      <w:r w:rsidR="005B50CC">
        <w:t xml:space="preserve"> Gebäudesektor</w:t>
      </w:r>
      <w:r w:rsidR="00D66602">
        <w:t>s</w:t>
      </w:r>
      <w:r w:rsidR="005B50CC">
        <w:t xml:space="preserve"> auf </w:t>
      </w:r>
      <w:r>
        <w:t>Gasimporte</w:t>
      </w:r>
    </w:p>
    <w:p w14:paraId="47B52241" w14:textId="346D1D64" w:rsidR="00BF05FA" w:rsidRDefault="005B50CC" w:rsidP="005B50CC">
      <w:pPr>
        <w:pStyle w:val="AutorenOrganisation"/>
        <w:numPr>
          <w:ilvl w:val="0"/>
          <w:numId w:val="6"/>
        </w:numPr>
      </w:pPr>
      <w:r>
        <w:t>Energie-/Klimapolitik, Versorgungssicherheit</w:t>
      </w:r>
    </w:p>
    <w:p w14:paraId="0AEFEF48" w14:textId="7EA9564D" w:rsidR="005E4D4F" w:rsidRPr="005E4D4F" w:rsidRDefault="005B50CC" w:rsidP="00A156E4">
      <w:pPr>
        <w:pStyle w:val="AutorenOrganisation"/>
      </w:pPr>
      <w:r>
        <w:t xml:space="preserve">Sibylle </w:t>
      </w:r>
      <w:proofErr w:type="gramStart"/>
      <w:r>
        <w:t>BRAUNGARDT</w:t>
      </w:r>
      <w:r w:rsidRPr="00A156E4">
        <w:rPr>
          <w:vertAlign w:val="superscript"/>
        </w:rPr>
        <w:t>(</w:t>
      </w:r>
      <w:proofErr w:type="gramEnd"/>
      <w:r w:rsidRPr="00A156E4">
        <w:rPr>
          <w:vertAlign w:val="superscript"/>
        </w:rPr>
        <w:t>1</w:t>
      </w:r>
      <w:r>
        <w:rPr>
          <w:vertAlign w:val="superscript"/>
        </w:rPr>
        <w:t>)</w:t>
      </w:r>
      <w:r>
        <w:t>, Lukas KRANZL</w:t>
      </w:r>
      <w:r w:rsidRPr="00A156E4">
        <w:rPr>
          <w:vertAlign w:val="superscript"/>
        </w:rPr>
        <w:t>(</w:t>
      </w:r>
      <w:r>
        <w:rPr>
          <w:vertAlign w:val="superscript"/>
        </w:rPr>
        <w:t>2)</w:t>
      </w:r>
      <w:r>
        <w:t>, Veit BÜRGER</w:t>
      </w:r>
      <w:r w:rsidRPr="00A156E4">
        <w:rPr>
          <w:vertAlign w:val="superscript"/>
        </w:rPr>
        <w:t>(1</w:t>
      </w:r>
      <w:r>
        <w:rPr>
          <w:vertAlign w:val="superscript"/>
        </w:rPr>
        <w:t>)</w:t>
      </w:r>
      <w:r>
        <w:t>, Andreas MÜLLER</w:t>
      </w:r>
      <w:r w:rsidRPr="00A156E4">
        <w:rPr>
          <w:vertAlign w:val="superscript"/>
        </w:rPr>
        <w:t>(</w:t>
      </w:r>
      <w:r>
        <w:rPr>
          <w:vertAlign w:val="superscript"/>
        </w:rPr>
        <w:t>3)</w:t>
      </w:r>
      <w:r w:rsidR="005E4D4F" w:rsidRPr="005E4D4F">
        <w:t xml:space="preserve"> </w:t>
      </w:r>
    </w:p>
    <w:p w14:paraId="31BB6490" w14:textId="23022679" w:rsidR="005E4D4F" w:rsidRDefault="00A156E4" w:rsidP="005E4D4F">
      <w:pPr>
        <w:pStyle w:val="AutorenOrganisation"/>
      </w:pPr>
      <w:r>
        <w:rPr>
          <w:vertAlign w:val="superscript"/>
        </w:rPr>
        <w:t>(</w:t>
      </w:r>
      <w:proofErr w:type="gramStart"/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proofErr w:type="spellStart"/>
      <w:r w:rsidR="00A126F6">
        <w:t>Oek</w:t>
      </w:r>
      <w:r w:rsidR="005B50CC">
        <w:t>o</w:t>
      </w:r>
      <w:proofErr w:type="gramEnd"/>
      <w:r w:rsidR="005B50CC">
        <w:t>-Institut</w:t>
      </w:r>
      <w:proofErr w:type="spellEnd"/>
      <w:r w:rsidR="005B50CC">
        <w:t xml:space="preserve"> e.V.</w:t>
      </w:r>
      <w:r w:rsidR="00010E92">
        <w:t xml:space="preserve">, </w:t>
      </w:r>
      <w:r w:rsidRPr="00A156E4">
        <w:rPr>
          <w:vertAlign w:val="superscript"/>
        </w:rPr>
        <w:t>(</w:t>
      </w:r>
      <w:r w:rsidR="00010E92" w:rsidRPr="00010E92">
        <w:rPr>
          <w:vertAlign w:val="superscript"/>
        </w:rPr>
        <w:t>2</w:t>
      </w:r>
      <w:r>
        <w:rPr>
          <w:vertAlign w:val="superscript"/>
        </w:rPr>
        <w:t>)</w:t>
      </w:r>
      <w:r w:rsidR="005B50CC">
        <w:t xml:space="preserve">TU Wien, </w:t>
      </w:r>
      <w:r w:rsidR="005B50CC" w:rsidRPr="00A156E4">
        <w:rPr>
          <w:vertAlign w:val="superscript"/>
        </w:rPr>
        <w:t>(</w:t>
      </w:r>
      <w:r w:rsidR="005B50CC">
        <w:rPr>
          <w:vertAlign w:val="superscript"/>
        </w:rPr>
        <w:t>3)</w:t>
      </w:r>
      <w:r w:rsidR="005B50CC">
        <w:t>e-</w:t>
      </w:r>
      <w:proofErr w:type="spellStart"/>
      <w:r w:rsidR="005B50CC">
        <w:t>think</w:t>
      </w:r>
      <w:proofErr w:type="spellEnd"/>
    </w:p>
    <w:p w14:paraId="7D0DC61F" w14:textId="77777777" w:rsidR="00A07737" w:rsidRPr="005E4D4F" w:rsidRDefault="00A07737" w:rsidP="00FB69AE">
      <w:pPr>
        <w:rPr>
          <w:lang w:val="de-AT"/>
        </w:rPr>
      </w:pPr>
    </w:p>
    <w:p w14:paraId="14767CFD" w14:textId="7777777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3EC2A7C6" w14:textId="15535BE9" w:rsidR="00643740" w:rsidRDefault="00643740" w:rsidP="00527CA6">
      <w:r>
        <w:t xml:space="preserve">Im Juli 2022 veröffentlichte die EU-Kommission den </w:t>
      </w:r>
      <w:proofErr w:type="spellStart"/>
      <w:r w:rsidR="00FD74C0">
        <w:t>REPowerEU</w:t>
      </w:r>
      <w:proofErr w:type="spellEnd"/>
      <w:r w:rsidR="00FD74C0">
        <w:t>-Plan</w:t>
      </w:r>
      <w:r w:rsidR="005A3E60">
        <w:t xml:space="preserve"> mit dem Ziel</w:t>
      </w:r>
      <w:r>
        <w:t xml:space="preserve"> „</w:t>
      </w:r>
      <w:r w:rsidR="00FD74C0">
        <w:t>die Abhängigkeit von fossilen Brennstoffen aus Russland rasch zu verringern, den ökologischen Wandel zu beschleunigen und gleichzeitig die Widerstandsfähigkeit des EU-weiten Energiesystems zu steigern</w:t>
      </w:r>
      <w:r>
        <w:t>“</w:t>
      </w:r>
      <w:r w:rsidR="008417C4">
        <w:t xml:space="preserve"> [1]</w:t>
      </w:r>
      <w:r>
        <w:t xml:space="preserve">. </w:t>
      </w:r>
    </w:p>
    <w:p w14:paraId="5B7869E5" w14:textId="77777777" w:rsidR="00643740" w:rsidRDefault="00643740" w:rsidP="00527CA6"/>
    <w:p w14:paraId="48AE7ACB" w14:textId="4200D0CB" w:rsidR="00527CA6" w:rsidRDefault="00090439" w:rsidP="00527CA6">
      <w:r>
        <w:t xml:space="preserve">Der </w:t>
      </w:r>
      <w:r w:rsidR="005A3E60">
        <w:t>EU-</w:t>
      </w:r>
      <w:r>
        <w:t>Gebäudesektor verursacht 40% des Energieverbrauchs und</w:t>
      </w:r>
      <w:r w:rsidR="005A3E60">
        <w:t xml:space="preserve"> </w:t>
      </w:r>
      <w:r>
        <w:t>36% der Treibhausgasemissionen</w:t>
      </w:r>
      <w:r w:rsidR="008417C4">
        <w:t xml:space="preserve"> [2]</w:t>
      </w:r>
      <w:r>
        <w:t>, seine Dekarbonisierung trägt somit wesentlich zur Erreichung der genannten Ziele bei.</w:t>
      </w:r>
    </w:p>
    <w:p w14:paraId="2F8D0506" w14:textId="50067C43" w:rsidR="00090439" w:rsidRDefault="00090439" w:rsidP="00527CA6"/>
    <w:p w14:paraId="23DA0250" w14:textId="4ABDFA05" w:rsidR="00090439" w:rsidRDefault="00811556" w:rsidP="00527CA6">
      <w:r>
        <w:t xml:space="preserve">Vor dem Hintergrund der notwendigen gleichzeitigen Reduktion der Importabhängigkeit sowie der Erreichung der Energie- und Klimaziele untersucht der Beitrag die Wirkung von Transformationspfaden für den Gebäudesektor auf die Abhängigkeit von </w:t>
      </w:r>
      <w:r w:rsidR="005A3E60">
        <w:t>r</w:t>
      </w:r>
      <w:r>
        <w:t xml:space="preserve">ussischen Gasimporten. </w:t>
      </w:r>
    </w:p>
    <w:p w14:paraId="041A4D9D" w14:textId="77777777" w:rsidR="005E4D4F" w:rsidRPr="005E4D4F" w:rsidRDefault="005E4D4F" w:rsidP="00227125"/>
    <w:p w14:paraId="5E0E6C10" w14:textId="2C574627" w:rsidR="00FD74C0" w:rsidRDefault="005E4D4F" w:rsidP="00FD74C0">
      <w:pPr>
        <w:pStyle w:val="Ueberschrift"/>
      </w:pPr>
      <w:r w:rsidRPr="005E4D4F">
        <w:t>Methodische Vorgangsweise</w:t>
      </w:r>
    </w:p>
    <w:p w14:paraId="4C2727E3" w14:textId="1B089E4A" w:rsidR="004C7FD0" w:rsidRDefault="00527CA6" w:rsidP="00227125">
      <w:r>
        <w:t xml:space="preserve">Für die </w:t>
      </w:r>
      <w:r w:rsidR="00FD74C0">
        <w:t>Analyse</w:t>
      </w:r>
      <w:r>
        <w:t xml:space="preserve"> werden zwei Szenarien verglichen: Ein Baseline-Szenario, das die bisherigen Entwicklungen im Gebäudesektor fortschreibt, sowie ein </w:t>
      </w:r>
      <w:proofErr w:type="spellStart"/>
      <w:r w:rsidR="00FD74C0">
        <w:t>Dekarbonisierungsszenario</w:t>
      </w:r>
      <w:proofErr w:type="spellEnd"/>
      <w:r w:rsidR="00FD74C0">
        <w:t xml:space="preserve"> (</w:t>
      </w:r>
      <w:proofErr w:type="spellStart"/>
      <w:r w:rsidR="00FD74C0">
        <w:t>Decarbonisation</w:t>
      </w:r>
      <w:proofErr w:type="spellEnd"/>
      <w:r w:rsidR="00FD74C0">
        <w:t xml:space="preserve"> </w:t>
      </w:r>
      <w:proofErr w:type="spellStart"/>
      <w:r w:rsidR="00FD74C0">
        <w:t>Pathway</w:t>
      </w:r>
      <w:proofErr w:type="spellEnd"/>
      <w:r w:rsidR="00FD74C0">
        <w:t xml:space="preserve"> Scenario), bei dem eine vollständige Dekarbonisierung des Gebäudesektors bis 2050</w:t>
      </w:r>
      <w:r w:rsidR="00D66602">
        <w:t xml:space="preserve"> sowie die Zwischenziele des Fit-for-55 Pakets</w:t>
      </w:r>
      <w:r w:rsidR="00FD74C0">
        <w:t xml:space="preserve"> erreicht w</w:t>
      </w:r>
      <w:r w:rsidR="00D66602">
        <w:t>erden</w:t>
      </w:r>
      <w:r w:rsidR="00FD74C0">
        <w:t xml:space="preserve">. </w:t>
      </w:r>
      <w:r w:rsidR="004C7FD0">
        <w:t xml:space="preserve">Die Berechnungen basieren auf Modellierungen </w:t>
      </w:r>
      <w:r w:rsidR="00FD74C0">
        <w:t>mit dem Gebäude-Modell Invert/EE-Lab</w:t>
      </w:r>
      <w:r w:rsidR="0003002B">
        <w:t xml:space="preserve"> [3]</w:t>
      </w:r>
      <w:r w:rsidR="00FD74C0">
        <w:t>.</w:t>
      </w:r>
      <w:r w:rsidR="0003002B">
        <w:t xml:space="preserve"> </w:t>
      </w:r>
    </w:p>
    <w:p w14:paraId="57269C96" w14:textId="7F521D8D" w:rsidR="00FD74C0" w:rsidRDefault="00FD74C0" w:rsidP="00227125"/>
    <w:p w14:paraId="0C449C1E" w14:textId="00B74826" w:rsidR="00FD74C0" w:rsidRDefault="00FD74C0" w:rsidP="00227125">
      <w:r>
        <w:t xml:space="preserve">Zur Abschätzung der Wirkungen auf die Versorgungssicherheit </w:t>
      </w:r>
      <w:proofErr w:type="gramStart"/>
      <w:r>
        <w:t>werden</w:t>
      </w:r>
      <w:proofErr w:type="gramEnd"/>
      <w:r>
        <w:t xml:space="preserve"> die durch die Transformation des Gebäudesektors erzielten Einsparungen an Erdgas mit den Erdgas-Importen aus Russland im Jahr 2020 verglichen. Die Daten zu den Energieimporten sind dem Eurostat Energy Trade </w:t>
      </w:r>
      <w:proofErr w:type="spellStart"/>
      <w:r>
        <w:t>Visualisation</w:t>
      </w:r>
      <w:proofErr w:type="spellEnd"/>
      <w:r>
        <w:t xml:space="preserve"> Tool </w:t>
      </w:r>
      <w:r w:rsidR="0003002B">
        <w:t xml:space="preserve">[4] </w:t>
      </w:r>
      <w:r>
        <w:t>entnommen.</w:t>
      </w:r>
    </w:p>
    <w:p w14:paraId="66DBFFE6" w14:textId="77777777" w:rsidR="005A3E60" w:rsidRDefault="005A3E60" w:rsidP="005A3E60"/>
    <w:p w14:paraId="51F10A67" w14:textId="522BA9C7" w:rsidR="005A3E60" w:rsidRDefault="005A3E60" w:rsidP="005A3E60">
      <w:r>
        <w:t xml:space="preserve">Neben einer Betrachtung der Wirkungen auf EU-Ebene liegt der Fokus auf den Mitgliedsstaaten mit den höchsten Gasimporten aus Russland: Deutschland, Italien, Niederlande, Ungarn, Polen, Frankreich, Tschechien, </w:t>
      </w:r>
      <w:proofErr w:type="spellStart"/>
      <w:r>
        <w:t>Slovakei</w:t>
      </w:r>
      <w:proofErr w:type="spellEnd"/>
      <w:r>
        <w:t>, Spanien.</w:t>
      </w:r>
    </w:p>
    <w:p w14:paraId="449B4BD7" w14:textId="77777777" w:rsidR="005E4D4F" w:rsidRPr="005E4D4F" w:rsidRDefault="005E4D4F" w:rsidP="00227125"/>
    <w:p w14:paraId="14B95358" w14:textId="77777777" w:rsidR="005E4D4F" w:rsidRPr="005E4D4F" w:rsidRDefault="005E4D4F" w:rsidP="005E4D4F">
      <w:pPr>
        <w:pStyle w:val="Ueberschrift"/>
      </w:pPr>
      <w:r w:rsidRPr="005E4D4F">
        <w:t>Ergebnisse und Schlussfolgerungen</w:t>
      </w:r>
    </w:p>
    <w:p w14:paraId="24BF2173" w14:textId="2898A2D2" w:rsidR="005E4D4F" w:rsidRPr="005E4D4F" w:rsidRDefault="00AF5024" w:rsidP="00227125">
      <w:r>
        <w:t>Mit der Transformation des Gebäudesektors reduziert sich die Nachfrage</w:t>
      </w:r>
      <w:r w:rsidRPr="00AF5024">
        <w:t xml:space="preserve"> </w:t>
      </w:r>
      <w:r>
        <w:t xml:space="preserve">nach Erdgas bis zum Jahr 2030 um etwa 300 TWh im Baseline-Szenario und etwa 540 TWh im </w:t>
      </w:r>
      <w:proofErr w:type="spellStart"/>
      <w:r>
        <w:t>Decarbonisation</w:t>
      </w:r>
      <w:proofErr w:type="spellEnd"/>
      <w:r>
        <w:t>-</w:t>
      </w:r>
      <w:proofErr w:type="spellStart"/>
      <w:r>
        <w:t>Pathway</w:t>
      </w:r>
      <w:proofErr w:type="spellEnd"/>
      <w:r>
        <w:t>-Szenario (Abbildung 1). Dies entspricht einem Anteil von 18% bzw. 33% der Gas-Importe aus Russland aus dem Jahr 2020.</w:t>
      </w:r>
    </w:p>
    <w:p w14:paraId="53730162" w14:textId="77777777" w:rsidR="005E4D4F" w:rsidRDefault="005E4D4F" w:rsidP="00227125"/>
    <w:p w14:paraId="7E08E6D0" w14:textId="7599A81E" w:rsidR="00803917" w:rsidRDefault="00423CD0" w:rsidP="00227125">
      <w:r>
        <w:rPr>
          <w:noProof/>
        </w:rPr>
        <w:lastRenderedPageBreak/>
        <w:drawing>
          <wp:inline distT="0" distB="0" distL="0" distR="0" wp14:anchorId="42352886" wp14:editId="228D844E">
            <wp:extent cx="5139055" cy="2615461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72" cy="2622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BAE14" w14:textId="77777777" w:rsidR="00803917" w:rsidRPr="002946B8" w:rsidRDefault="00803917" w:rsidP="00D53E86">
      <w:pPr>
        <w:pStyle w:val="Abbildungsbeschriftung"/>
      </w:pPr>
      <w:r w:rsidRPr="002946B8">
        <w:t xml:space="preserve">Abbildung 1: </w:t>
      </w:r>
      <w:r w:rsidR="002946B8" w:rsidRPr="002946B8">
        <w:t>Abbildungsbeschriftung</w:t>
      </w:r>
      <w:r w:rsidR="00A07737">
        <w:t xml:space="preserve"> (Die Inhalte </w:t>
      </w:r>
      <w:r w:rsidR="00D53E86">
        <w:t>sollten</w:t>
      </w:r>
      <w:r w:rsidR="00A07737">
        <w:t xml:space="preserve"> in Graustufen </w:t>
      </w:r>
      <w:r w:rsidR="002014D3">
        <w:t xml:space="preserve">gut </w:t>
      </w:r>
      <w:r w:rsidR="00A07737">
        <w:t>lesbar sein</w:t>
      </w:r>
      <w:r w:rsidR="005B1ADB">
        <w:t>.</w:t>
      </w:r>
      <w:r w:rsidR="00A07737">
        <w:t>)</w:t>
      </w:r>
    </w:p>
    <w:p w14:paraId="27A1FA20" w14:textId="468540AC" w:rsidR="002946B8" w:rsidRDefault="002946B8" w:rsidP="00227125"/>
    <w:p w14:paraId="197576EF" w14:textId="77777777" w:rsidR="00527CA6" w:rsidRPr="005E4D4F" w:rsidRDefault="00527CA6" w:rsidP="00527CA6"/>
    <w:p w14:paraId="4A6064C6" w14:textId="20225F80" w:rsidR="00527CA6" w:rsidRDefault="00AF5024" w:rsidP="00527CA6">
      <w:r>
        <w:t xml:space="preserve">Die Auswirkungen der Transformation des Gebäudesektors auf die Importabhängigkeit für russisches Gas unterscheidet sich deutlich zwischen den Mitgliedsstaaten. Abbildung 2 </w:t>
      </w:r>
      <w:r w:rsidR="006D248C">
        <w:t xml:space="preserve">fokussiert auf die EU-Mitgliedsstaaten mit den höchsten Gasimporten aus Russland und die Reduktion der Gasnachfrage in den Jahren 2025 und 2030 im </w:t>
      </w:r>
      <w:proofErr w:type="spellStart"/>
      <w:r w:rsidR="006D248C">
        <w:t>Decarbonisation</w:t>
      </w:r>
      <w:proofErr w:type="spellEnd"/>
      <w:r w:rsidR="006D248C">
        <w:t>-</w:t>
      </w:r>
      <w:proofErr w:type="spellStart"/>
      <w:r w:rsidR="006D248C">
        <w:t>Pathway</w:t>
      </w:r>
      <w:proofErr w:type="spellEnd"/>
      <w:r w:rsidR="006D248C">
        <w:t xml:space="preserve">-Szenario mit den Gasimporten der jeweiligen Länder aus Russland im Jahr 2020.  </w:t>
      </w:r>
    </w:p>
    <w:p w14:paraId="6F06D160" w14:textId="0296E1BC" w:rsidR="00527CA6" w:rsidRDefault="0003002B" w:rsidP="00527CA6">
      <w:r>
        <w:rPr>
          <w:noProof/>
        </w:rPr>
        <w:drawing>
          <wp:inline distT="0" distB="0" distL="0" distR="0" wp14:anchorId="53CAC91E" wp14:editId="466E8694">
            <wp:extent cx="5219700" cy="329882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585" cy="3302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9B3AB8" w14:textId="6B414A20" w:rsidR="00527CA6" w:rsidRPr="002946B8" w:rsidRDefault="00527CA6" w:rsidP="00527CA6">
      <w:pPr>
        <w:pStyle w:val="Abbildungsbeschriftung"/>
      </w:pPr>
      <w:r w:rsidRPr="002946B8">
        <w:t xml:space="preserve">Abbildung </w:t>
      </w:r>
      <w:r>
        <w:t>2</w:t>
      </w:r>
      <w:r w:rsidRPr="002946B8">
        <w:t>: Abbildungsbeschriftung</w:t>
      </w:r>
      <w:r>
        <w:t xml:space="preserve"> (Die Inhalte sollten in Graustufen gut lesbar sein.)</w:t>
      </w:r>
    </w:p>
    <w:p w14:paraId="2528A5F2" w14:textId="77777777" w:rsidR="00527CA6" w:rsidRDefault="00527CA6" w:rsidP="00527CA6"/>
    <w:p w14:paraId="010ED53D" w14:textId="11E7C308" w:rsidR="00527CA6" w:rsidRDefault="006D248C" w:rsidP="00227125">
      <w:r>
        <w:t>Die Analyse zeigt, dass die Transformation des Gebäudesektors hin zur Klimaneutralität einen wichtigen Beitrag zur Reduktion der Importabhängigkeit leisten kann</w:t>
      </w:r>
      <w:r w:rsidR="00F17777">
        <w:t xml:space="preserve">, mit dem nicht nur kurz- sondern auch langfristig Energieimporte und Energiekosten eingespart werden können.  </w:t>
      </w:r>
      <w:r>
        <w:t xml:space="preserve"> </w:t>
      </w:r>
    </w:p>
    <w:p w14:paraId="6257BD39" w14:textId="6655BF1A" w:rsidR="00527CA6" w:rsidRPr="00803917" w:rsidRDefault="00527CA6" w:rsidP="00227125"/>
    <w:p w14:paraId="0C0574B2" w14:textId="1B855D37" w:rsidR="005E4D4F" w:rsidRPr="005E4D4F" w:rsidRDefault="005E4D4F" w:rsidP="00A156E4">
      <w:pPr>
        <w:pStyle w:val="Ueberschrift"/>
      </w:pPr>
      <w:bookmarkStart w:id="0" w:name="_Toc26086066"/>
      <w:bookmarkStart w:id="1" w:name="_Toc68418491"/>
      <w:r w:rsidRPr="005E4D4F">
        <w:t>Literatur</w:t>
      </w:r>
      <w:bookmarkEnd w:id="0"/>
      <w:bookmarkEnd w:id="1"/>
    </w:p>
    <w:p w14:paraId="485A86B0" w14:textId="3A9F0AC7" w:rsidR="005E4D4F" w:rsidRDefault="00483B87" w:rsidP="00227125">
      <w:pPr>
        <w:pStyle w:val="Literatur"/>
      </w:pPr>
      <w:r>
        <w:t>[1]</w:t>
      </w:r>
      <w:r>
        <w:tab/>
      </w:r>
      <w:r w:rsidR="008417C4">
        <w:t xml:space="preserve">EU-Kommission (2022): </w:t>
      </w:r>
      <w:hyperlink r:id="rId9" w:history="1">
        <w:proofErr w:type="spellStart"/>
        <w:r w:rsidR="008417C4" w:rsidRPr="008417C4">
          <w:rPr>
            <w:rStyle w:val="Hyperlink"/>
          </w:rPr>
          <w:t>REPowerEU</w:t>
        </w:r>
        <w:proofErr w:type="spellEnd"/>
        <w:r w:rsidR="008417C4" w:rsidRPr="008417C4">
          <w:rPr>
            <w:rStyle w:val="Hyperlink"/>
          </w:rPr>
          <w:t>: erschwingliche, sichere und nachhaltige Energie für Europa</w:t>
        </w:r>
      </w:hyperlink>
    </w:p>
    <w:p w14:paraId="53EDE65A" w14:textId="5340A29C" w:rsidR="00010E92" w:rsidRDefault="00483B87" w:rsidP="00227125">
      <w:pPr>
        <w:pStyle w:val="Literatur"/>
      </w:pPr>
      <w:r>
        <w:t>[2]</w:t>
      </w:r>
      <w:r>
        <w:tab/>
      </w:r>
      <w:r w:rsidR="008417C4">
        <w:t xml:space="preserve">EU-Kommission (2022): </w:t>
      </w:r>
      <w:hyperlink r:id="rId10" w:history="1">
        <w:r w:rsidR="008417C4" w:rsidRPr="008417C4">
          <w:rPr>
            <w:rStyle w:val="Hyperlink"/>
          </w:rPr>
          <w:t>Im Blickpunkt – Energieeffizienz von Gebäuden</w:t>
        </w:r>
      </w:hyperlink>
    </w:p>
    <w:p w14:paraId="71AB2CC9" w14:textId="1A6849E7" w:rsidR="0003002B" w:rsidRPr="0003002B" w:rsidRDefault="0003002B" w:rsidP="00227125">
      <w:pPr>
        <w:pStyle w:val="Literatur"/>
        <w:rPr>
          <w:lang w:val="en-GB"/>
        </w:rPr>
      </w:pPr>
      <w:r w:rsidRPr="0003002B">
        <w:rPr>
          <w:lang w:val="en-GB"/>
        </w:rPr>
        <w:t>[3</w:t>
      </w:r>
      <w:r>
        <w:rPr>
          <w:lang w:val="en-GB"/>
        </w:rPr>
        <w:t xml:space="preserve">] </w:t>
      </w:r>
      <w:hyperlink r:id="rId11" w:history="1">
        <w:r w:rsidRPr="0003002B">
          <w:rPr>
            <w:rStyle w:val="Hyperlink"/>
            <w:lang w:val="en-GB"/>
          </w:rPr>
          <w:t>Invert/EE-Lab</w:t>
        </w:r>
      </w:hyperlink>
    </w:p>
    <w:p w14:paraId="43219CD9" w14:textId="42287B0E" w:rsidR="0003002B" w:rsidRPr="0003002B" w:rsidRDefault="0003002B" w:rsidP="00227125">
      <w:pPr>
        <w:pStyle w:val="Literatur"/>
        <w:rPr>
          <w:lang w:val="en-GB"/>
        </w:rPr>
      </w:pPr>
      <w:r w:rsidRPr="0003002B">
        <w:rPr>
          <w:lang w:val="en-GB"/>
        </w:rPr>
        <w:t xml:space="preserve">[4] </w:t>
      </w:r>
      <w:hyperlink r:id="rId12" w:history="1">
        <w:r w:rsidRPr="0003002B">
          <w:rPr>
            <w:rStyle w:val="Hyperlink"/>
            <w:lang w:val="en-GB"/>
          </w:rPr>
          <w:t>Eurostat Energy Trade Visualisation Tool</w:t>
        </w:r>
      </w:hyperlink>
    </w:p>
    <w:p w14:paraId="24C120A5" w14:textId="77777777" w:rsidR="00564569" w:rsidRPr="0003002B" w:rsidRDefault="00564569" w:rsidP="00423CD0">
      <w:pPr>
        <w:pStyle w:val="Literatur"/>
        <w:ind w:left="0" w:firstLine="0"/>
        <w:rPr>
          <w:lang w:val="en-GB"/>
        </w:rPr>
      </w:pPr>
    </w:p>
    <w:sectPr w:rsidR="00564569" w:rsidRPr="000300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0DA7" w14:textId="77777777" w:rsidR="00D0479F" w:rsidRDefault="00D0479F">
      <w:r>
        <w:separator/>
      </w:r>
    </w:p>
  </w:endnote>
  <w:endnote w:type="continuationSeparator" w:id="0">
    <w:p w14:paraId="61823834" w14:textId="77777777" w:rsidR="00D0479F" w:rsidRDefault="00D0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85B3" w14:textId="77777777" w:rsidR="00D0479F" w:rsidRDefault="00D0479F">
      <w:r>
        <w:separator/>
      </w:r>
    </w:p>
  </w:footnote>
  <w:footnote w:type="continuationSeparator" w:id="0">
    <w:p w14:paraId="7F898E6E" w14:textId="77777777" w:rsidR="00D0479F" w:rsidRDefault="00D0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3FAE"/>
    <w:multiLevelType w:val="hybridMultilevel"/>
    <w:tmpl w:val="41083318"/>
    <w:lvl w:ilvl="0" w:tplc="14881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6347"/>
    <w:multiLevelType w:val="hybridMultilevel"/>
    <w:tmpl w:val="F416A692"/>
    <w:lvl w:ilvl="0" w:tplc="FF3E91B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5D75967"/>
    <w:multiLevelType w:val="multilevel"/>
    <w:tmpl w:val="0978BA90"/>
    <w:numStyleLink w:val="Aufzhlung"/>
  </w:abstractNum>
  <w:abstractNum w:abstractNumId="5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10E92"/>
    <w:rsid w:val="0003002B"/>
    <w:rsid w:val="00090439"/>
    <w:rsid w:val="000D3DD3"/>
    <w:rsid w:val="002014D3"/>
    <w:rsid w:val="00227125"/>
    <w:rsid w:val="00262FD5"/>
    <w:rsid w:val="002946B8"/>
    <w:rsid w:val="00335E63"/>
    <w:rsid w:val="00350F98"/>
    <w:rsid w:val="00372D53"/>
    <w:rsid w:val="003B676F"/>
    <w:rsid w:val="003C28FE"/>
    <w:rsid w:val="00423CD0"/>
    <w:rsid w:val="00483B87"/>
    <w:rsid w:val="004C7FD0"/>
    <w:rsid w:val="00512A40"/>
    <w:rsid w:val="00527CA6"/>
    <w:rsid w:val="00547226"/>
    <w:rsid w:val="00564569"/>
    <w:rsid w:val="00573BEB"/>
    <w:rsid w:val="005A3E60"/>
    <w:rsid w:val="005B1ADB"/>
    <w:rsid w:val="005B50CC"/>
    <w:rsid w:val="005E4D4F"/>
    <w:rsid w:val="00643740"/>
    <w:rsid w:val="006D248C"/>
    <w:rsid w:val="007378C8"/>
    <w:rsid w:val="00741EC0"/>
    <w:rsid w:val="00803917"/>
    <w:rsid w:val="00811556"/>
    <w:rsid w:val="008417C4"/>
    <w:rsid w:val="009410D4"/>
    <w:rsid w:val="00A07737"/>
    <w:rsid w:val="00A126F6"/>
    <w:rsid w:val="00A156E4"/>
    <w:rsid w:val="00A6148D"/>
    <w:rsid w:val="00AF5024"/>
    <w:rsid w:val="00BF05FA"/>
    <w:rsid w:val="00CE1A70"/>
    <w:rsid w:val="00D0479F"/>
    <w:rsid w:val="00D53E86"/>
    <w:rsid w:val="00D66602"/>
    <w:rsid w:val="00D736F8"/>
    <w:rsid w:val="00E520E6"/>
    <w:rsid w:val="00F17777"/>
    <w:rsid w:val="00F55E20"/>
    <w:rsid w:val="00FB69AE"/>
    <w:rsid w:val="00FD5D56"/>
    <w:rsid w:val="00FD74C0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3DE8E"/>
  <w15:chartTrackingRefBased/>
  <w15:docId w15:val="{5AB661ED-F8E9-B842-BFAC-3D71C3A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le">
    <w:name w:val="Title"/>
    <w:basedOn w:val="Normal"/>
    <w:link w:val="TitleChar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NoList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Normal"/>
    <w:rsid w:val="002946B8"/>
    <w:rPr>
      <w:i/>
      <w:iCs/>
    </w:rPr>
  </w:style>
  <w:style w:type="character" w:customStyle="1" w:styleId="TitleChar">
    <w:name w:val="Title Char"/>
    <w:link w:val="Title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Normal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le"/>
    <w:rsid w:val="005E4D4F"/>
    <w:rPr>
      <w:rFonts w:cs="Arial"/>
    </w:rPr>
  </w:style>
  <w:style w:type="paragraph" w:customStyle="1" w:styleId="AutorenOrganisation">
    <w:name w:val="Autoren &amp; Organisation"/>
    <w:basedOn w:val="Normal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Normal"/>
    <w:rsid w:val="005E4D4F"/>
    <w:pPr>
      <w:ind w:left="284" w:hanging="284"/>
    </w:pPr>
    <w:rPr>
      <w:rFonts w:cs="Arial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4C7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c.europa.eu/eurostat/cache/infographs/energy_trade/entrade.html?geo=UK&amp;year=2020&amp;language=EN&amp;trade=imp&amp;siec=G3000&amp;filter=all&amp;fuel=gas&amp;unit=TJ_GCV&amp;defaultUnit=TJ_GCV&amp;detail=1&amp;char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vert.a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.europa.eu/info/news/focus-energy-efficiency-buildings-2020-lut-17_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strategy/priorities-2019-2024/european-green-deal/repowereu-affordable-secure-and-sustainable-energy-europe_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Sibylle Braungardt</cp:lastModifiedBy>
  <cp:revision>8</cp:revision>
  <dcterms:created xsi:type="dcterms:W3CDTF">2022-11-21T20:41:00Z</dcterms:created>
  <dcterms:modified xsi:type="dcterms:W3CDTF">2022-11-22T17:17:00Z</dcterms:modified>
</cp:coreProperties>
</file>