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61A21" w14:textId="4D591162" w:rsidR="005E4D4F" w:rsidRPr="005E4D4F" w:rsidRDefault="00E81356" w:rsidP="005E4D4F">
      <w:pPr>
        <w:pStyle w:val="Abstract-Titel"/>
      </w:pPr>
      <w:r>
        <w:t>Anlagenspezifische Modellierung der Transformation in der Europäischen Schwerindustrie</w:t>
      </w:r>
    </w:p>
    <w:p w14:paraId="47B52241" w14:textId="0B11DF1B" w:rsidR="00BF05FA" w:rsidRDefault="00BF05FA" w:rsidP="00A156E4">
      <w:pPr>
        <w:pStyle w:val="AutorenOrganisation"/>
      </w:pPr>
      <w:r>
        <w:t>Themenbereich</w:t>
      </w:r>
      <w:r w:rsidR="00E45B6A">
        <w:t xml:space="preserve">: </w:t>
      </w:r>
      <w:r w:rsidR="007865D9">
        <w:t>Dekarbo</w:t>
      </w:r>
      <w:bookmarkStart w:id="0" w:name="_GoBack"/>
      <w:bookmarkEnd w:id="0"/>
      <w:r w:rsidR="007865D9">
        <w:t>nisierung: Industriesektor</w:t>
      </w:r>
    </w:p>
    <w:p w14:paraId="008D6923" w14:textId="77777777" w:rsidR="00E45B6A" w:rsidRDefault="00E45B6A" w:rsidP="00A156E4">
      <w:pPr>
        <w:pStyle w:val="AutorenOrganisation"/>
      </w:pPr>
    </w:p>
    <w:p w14:paraId="0AEFEF48" w14:textId="513E54C1" w:rsidR="005E4D4F" w:rsidRPr="00E45B6A" w:rsidRDefault="00E45B6A" w:rsidP="00E45B6A">
      <w:pPr>
        <w:pStyle w:val="AutorenOrganisation"/>
        <w:jc w:val="left"/>
      </w:pPr>
      <w:r>
        <w:t>Marius NEUWIRTH</w:t>
      </w:r>
      <w:r>
        <w:rPr>
          <w:vertAlign w:val="superscript"/>
        </w:rPr>
        <w:t>*</w:t>
      </w:r>
      <w:r w:rsidRPr="00A156E4">
        <w:rPr>
          <w:vertAlign w:val="superscript"/>
        </w:rPr>
        <w:t xml:space="preserve"> </w:t>
      </w:r>
      <w:r w:rsidR="00A156E4" w:rsidRPr="00A156E4">
        <w:rPr>
          <w:vertAlign w:val="superscript"/>
        </w:rPr>
        <w:t>(1</w:t>
      </w:r>
      <w:r w:rsidR="00A156E4">
        <w:rPr>
          <w:vertAlign w:val="superscript"/>
        </w:rPr>
        <w:t>)</w:t>
      </w:r>
      <w:r w:rsidR="005E4D4F" w:rsidRPr="005E4D4F">
        <w:t xml:space="preserve">, </w:t>
      </w:r>
      <w:r>
        <w:t>Tobias FLEITER</w:t>
      </w:r>
      <w:r w:rsidR="00A156E4" w:rsidRPr="00A156E4">
        <w:rPr>
          <w:vertAlign w:val="superscript"/>
        </w:rPr>
        <w:t>(</w:t>
      </w:r>
      <w:r>
        <w:rPr>
          <w:vertAlign w:val="superscript"/>
        </w:rPr>
        <w:t>1</w:t>
      </w:r>
      <w:r w:rsidR="00A156E4">
        <w:rPr>
          <w:vertAlign w:val="superscript"/>
        </w:rPr>
        <w:t>)</w:t>
      </w:r>
      <w:r>
        <w:t>,</w:t>
      </w:r>
      <w:r w:rsidRPr="005E4D4F">
        <w:t xml:space="preserve"> </w:t>
      </w:r>
      <w:r>
        <w:t>Yan HUCK</w:t>
      </w:r>
      <w:r w:rsidRPr="00A156E4">
        <w:rPr>
          <w:vertAlign w:val="superscript"/>
        </w:rPr>
        <w:t>(</w:t>
      </w:r>
      <w:r>
        <w:rPr>
          <w:vertAlign w:val="superscript"/>
        </w:rPr>
        <w:t>1)</w:t>
      </w:r>
      <w:r w:rsidRPr="005E4D4F">
        <w:t xml:space="preserve">, </w:t>
      </w:r>
      <w:r>
        <w:t>Stefan EIDELLOTH</w:t>
      </w:r>
      <w:r w:rsidRPr="00A156E4">
        <w:rPr>
          <w:vertAlign w:val="superscript"/>
        </w:rPr>
        <w:t>(</w:t>
      </w:r>
      <w:r>
        <w:rPr>
          <w:vertAlign w:val="superscript"/>
        </w:rPr>
        <w:t>1)</w:t>
      </w:r>
    </w:p>
    <w:p w14:paraId="3EA27899" w14:textId="47F60A31" w:rsidR="00E45B6A" w:rsidRPr="000138C8" w:rsidRDefault="00A156E4" w:rsidP="00E45B6A">
      <w:pPr>
        <w:pStyle w:val="AutorenOrganisation"/>
        <w:jc w:val="left"/>
        <w:rPr>
          <w:sz w:val="20"/>
          <w:szCs w:val="20"/>
        </w:rPr>
      </w:pPr>
      <w:r w:rsidRPr="000138C8">
        <w:rPr>
          <w:sz w:val="20"/>
          <w:szCs w:val="20"/>
          <w:vertAlign w:val="superscript"/>
        </w:rPr>
        <w:t>(</w:t>
      </w:r>
      <w:r w:rsidR="00010E92" w:rsidRPr="000138C8">
        <w:rPr>
          <w:sz w:val="20"/>
          <w:szCs w:val="20"/>
          <w:vertAlign w:val="superscript"/>
        </w:rPr>
        <w:t>1</w:t>
      </w:r>
      <w:r w:rsidRPr="000138C8">
        <w:rPr>
          <w:sz w:val="20"/>
          <w:szCs w:val="20"/>
          <w:vertAlign w:val="superscript"/>
        </w:rPr>
        <w:t>)</w:t>
      </w:r>
      <w:r w:rsidR="00E45B6A" w:rsidRPr="000138C8">
        <w:rPr>
          <w:sz w:val="20"/>
          <w:szCs w:val="20"/>
        </w:rPr>
        <w:t>Fraunhofer Institut für System- &amp; Innovationsforschung (ISI)</w:t>
      </w:r>
      <w:r w:rsidR="00010E92" w:rsidRPr="000138C8">
        <w:rPr>
          <w:sz w:val="20"/>
          <w:szCs w:val="20"/>
        </w:rPr>
        <w:t xml:space="preserve"> </w:t>
      </w:r>
    </w:p>
    <w:p w14:paraId="0146AA5D" w14:textId="005F9C34" w:rsidR="00491F7D" w:rsidRPr="005E71A7" w:rsidRDefault="00E45B6A" w:rsidP="00491F7D">
      <w:pPr>
        <w:rPr>
          <w:lang w:val="en-GB"/>
        </w:rPr>
      </w:pPr>
      <w:r w:rsidRPr="005E71A7">
        <w:rPr>
          <w:lang w:val="en-GB"/>
        </w:rPr>
        <w:t xml:space="preserve">* </w:t>
      </w:r>
      <w:hyperlink r:id="rId8" w:history="1">
        <w:r w:rsidRPr="005E71A7">
          <w:rPr>
            <w:rStyle w:val="Hyperlink"/>
            <w:lang w:val="en-GB"/>
          </w:rPr>
          <w:t>Marius.Neuwirth@isi.fraunhofer.de</w:t>
        </w:r>
      </w:hyperlink>
    </w:p>
    <w:p w14:paraId="49E8D89F" w14:textId="4D83FB00" w:rsidR="00491F7D" w:rsidRPr="005E4D4F" w:rsidRDefault="00491F7D" w:rsidP="00491F7D">
      <w:pPr>
        <w:rPr>
          <w:lang w:val="de-AT"/>
        </w:rPr>
      </w:pPr>
      <w:r>
        <w:t xml:space="preserve"> </w:t>
      </w:r>
    </w:p>
    <w:p w14:paraId="14767CFD" w14:textId="21EDD69A" w:rsidR="005E4D4F" w:rsidRPr="005E4D4F" w:rsidRDefault="005E4D4F" w:rsidP="005E4D4F">
      <w:pPr>
        <w:pStyle w:val="Ueberschrift"/>
      </w:pPr>
      <w:r w:rsidRPr="005E4D4F">
        <w:t>Motivation und zentrale Fragestellung</w:t>
      </w:r>
    </w:p>
    <w:p w14:paraId="61B4599D" w14:textId="2089C0AA" w:rsidR="00DA582C" w:rsidRDefault="00DA582C" w:rsidP="00DA582C">
      <w:r>
        <w:t>Der Industriesektor ist mit etwa 21 % der gesamten THG-Emissionen in der EU-27 einer der größten Emissionssektoren</w:t>
      </w:r>
      <w:r w:rsidR="00C7770D">
        <w:t xml:space="preserve"> </w:t>
      </w:r>
      <w:sdt>
        <w:sdtPr>
          <w:alias w:val="To edit, see citavi.com/edit"/>
          <w:tag w:val="CitaviPlaceholder#75443d28-a969-4fd0-8315-a62db8fa082a"/>
          <w:id w:val="-1906983302"/>
          <w:placeholder>
            <w:docPart w:val="DefaultPlaceholder_-1854013440"/>
          </w:placeholder>
        </w:sdtPr>
        <w:sdtEndPr/>
        <w:sdtContent>
          <w:r w:rsidR="00C7770D">
            <w:fldChar w:fldCharType="begin"/>
          </w:r>
          <w:r w:rsidR="00975E6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0ZGU2ZGQ1LTFmM2UtNDc0YS04M2RkLTVmODVjODg3NGIzOCIsIlJhbmdlTGVuZ3RoIjozLCJSZWZlcmVuY2VJZCI6ImNiZGU4NGJmLWI4YzItNDE4NC1hMWZkLTFhMDM0ZTBmNzZm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FdXJvc3RhdCIsIlByb3RlY3RlZCI6ZmFsc2UsIlNleCI6MCwiQ3JlYXRlZEJ5IjoiX05FTSIsIkNyZWF0ZWRPbiI6IjIwMjAtMDItMDFUMTg6MjI6MDMiLCJNb2RpZmllZEJ5IjoiX05FTSIsIklkIjoiNTViYWMwYzgtM2E3OC00ZWYwLTg4ZmMtMmUzOGVlNjI0Mzc1IiwiTW9kaWZpZWRPbiI6IjIwMjEtMDEtMDFUMTc6MzI6NTk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2VjLmV1cm9wYS5ldS9ldXJvc3RhdC9kZS93ZWIvZW5lcmd5L2RhdGEvZW5lcmd5LWJhbGFuY2VzIiwiVXJpU3RyaW5nIjoiaHR0cHM6Ly9lYy5ldXJvcGEuZXUvZXVyb3N0YXQvZGUvd2ViL2VuZXJneS9kYXRhL2VuZXJneS1iYWxhbmNlc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}</w:instrText>
          </w:r>
          <w:r w:rsidR="00C7770D">
            <w:fldChar w:fldCharType="separate"/>
          </w:r>
          <w:r w:rsidR="00975E66">
            <w:t>[1]</w:t>
          </w:r>
          <w:r w:rsidR="00C7770D">
            <w:fldChar w:fldCharType="end"/>
          </w:r>
        </w:sdtContent>
      </w:sdt>
      <w:r>
        <w:t xml:space="preserve">. </w:t>
      </w:r>
      <w:r w:rsidR="00F0484C">
        <w:t>Einige nationale und internationale Maßnahmenpakete, wie das Fi</w:t>
      </w:r>
      <w:r w:rsidR="00396040">
        <w:t>t-for-55-Paket und REPowerEU zur Unabhängigkeit von Russland, zielen auf die Integration neuer klimaneutraler Energieträger ab</w:t>
      </w:r>
      <w:r w:rsidR="00C7770D">
        <w:t xml:space="preserve"> </w:t>
      </w:r>
      <w:sdt>
        <w:sdtPr>
          <w:alias w:val="To edit, see citavi.com/edit"/>
          <w:tag w:val="CitaviPlaceholder#11aea0fc-92a3-41a5-9396-f25fe5ad4668"/>
          <w:id w:val="-1533028423"/>
          <w:placeholder>
            <w:docPart w:val="DefaultPlaceholder_-1854013440"/>
          </w:placeholder>
        </w:sdtPr>
        <w:sdtEndPr/>
        <w:sdtContent>
          <w:r w:rsidR="007951E8">
            <w:fldChar w:fldCharType="begin"/>
          </w:r>
          <w:r w:rsidR="00CD40C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wMmZiMmQ1LTBiMzgtNDAwOS04YmQwLWNkNDQ4MzZlOGRlYyIsIlJhbmdlU3RhcnQiOjIsIlJhbmdlTGVuZ3RoIjozLCJSZWZlcmVuY2VJZCI6ImZlNDdhYWNlLTVhY2QtNDNkNC1iZTIxLTQwYjYzM2YwZDZj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Y2Nlc3NEYXRlIjoiMTd0aCBKYW4uIDIwMjIiLCJBdXRob3JzIjpbeyIkaWQiOiI3IiwiJHR5cGUiOiJTd2lzc0FjYWRlbWljLkNpdGF2aS5QZXJzb24sIFN3aXNzQWNhZGVtaWMuQ2l0YXZpIiwiTGFzdE5hbWUiOiJFdXJvcGVhbiBDb21taXNzaW9uIiwiUHJvdGVjdGVkIjpmYWxzZSwiU2V4IjowLCJDcmVhdGVkQnkiOiJfTkVNIiwiQ3JlYXRlZE9uIjoiMjAyMS0wMy0yMVQyMDoyMDowOCIsIk1vZGlmaWVkQnkiOiJfTkVNIiwiSWQiOiIzN2EzM2I5ZS03ZjU5LTRmMzItYmZiMS1iYzc0Yjg5NDAwMzAiLCJNb2RpZmllZE9uIjoiMjAyMS0wMy0yMVQyMDoyMDowOC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xLCJVcmlTdHJpbmciOiJDRUxFWF81MjAyMURDMDU1MF9FTl9UWFQ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HM6Ly9ldXItbGV4LmV1cm9wYS5ldS9sZWdhbC1jb250ZW50L0VOL1RYVC9QREYvP3VyaT1DRUxFWDo1MjAyMURDMDU1MCZmcm9tPUVOIiwiVXJpU3RyaW5nIjoiaHR0cHM6Ly9ldXItbGV4LmV1cm9wYS5ldS9sZWdhbC1jb250ZW50L0VOL1RYVC9QREYvP3VyaT1DRUxFWDo1MjAyMURDMDU1MCZmcm9tPUVO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IxIiwiJHR5cGUiOiJTd2lzc0FjYWRlbWljLkNpdGF2aS5Mb2NhdGlvbiwgU3dpc3NBY2FkZW1pYy5DaXRhdmkiLCJBZGRyZXNzIjp7IiRpZCI6IjIyIiwiJHR5cGUiOiJTd2lzc0FjYWRlbWljLkNpdGF2aS5MaW5rZWRSZXNvdXJjZSwgU3dpc3NBY2FkZW1pYy5DaXRhdmkiLCJMaW5rZWRSZXNvdXJjZVR5cGUiOjUsIk9yaWdpbmFsU3RyaW5nIjoiaHR0cHM6Ly9lYy5ldXJvcGEuZXUvY29tbWlzc2lvbi9wcmVzc2Nvcm5lci9kZXRhaWwvZW4vSVBfMjJfMzEzMSIsIlVyaVN0cmluZyI6Imh0dHBzOi8vZWMuZXVyb3BhLmV1L2NvbW1pc3Npb24vcHJlc3Njb3JuZXIvZGV0YWlsL2VuL0lQXzIyXzMxMzE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}</w:instrText>
          </w:r>
          <w:r w:rsidR="007951E8">
            <w:fldChar w:fldCharType="separate"/>
          </w:r>
          <w:r w:rsidR="00975E66">
            <w:t>[2,3]</w:t>
          </w:r>
          <w:r w:rsidR="007951E8">
            <w:fldChar w:fldCharType="end"/>
          </w:r>
        </w:sdtContent>
      </w:sdt>
      <w:r w:rsidR="00396040">
        <w:t>. Große Herausforderungen ergeben sich damit f</w:t>
      </w:r>
      <w:r>
        <w:t>ür die Dekarbonisierung der Schwerindustrie</w:t>
      </w:r>
      <w:r w:rsidR="00396040">
        <w:t>, welche</w:t>
      </w:r>
      <w:r>
        <w:t xml:space="preserve"> derzeit große Mengen fossiler Energieträger für die energetische Nutzung und den Einsatz von Rohstoffen verwendet</w:t>
      </w:r>
      <w:r w:rsidR="007951E8">
        <w:t xml:space="preserve"> </w:t>
      </w:r>
      <w:sdt>
        <w:sdtPr>
          <w:alias w:val="To edit, see citavi.com/edit"/>
          <w:tag w:val="CitaviPlaceholder#225749fe-7c2e-44eb-8e57-5cc03559554b"/>
          <w:id w:val="881831746"/>
          <w:placeholder>
            <w:docPart w:val="DefaultPlaceholder_-1854013440"/>
          </w:placeholder>
        </w:sdtPr>
        <w:sdtEndPr/>
        <w:sdtContent>
          <w:r w:rsidR="007951E8">
            <w:fldChar w:fldCharType="begin"/>
          </w:r>
          <w:r w:rsidR="00CD40C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lMjBkZGQzLWIwMzktNDhlYS1hNjdjLWY4Y2ZiNWNmNWUyMyIsIlJhbmdlTGVuZ3RoIjozLCJSZWZlcmVuY2VJZCI6IjRmMTA4MGY1LTg1MWQtNDE4YS05NmQxLTM3M2M0MmUyMzNhY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Y2Nlc3NEYXRlIjoiMS8yLzIwMjEiLCJBdXRob3JzIjpbeyIkaWQiOiI3IiwiJHR5cGUiOiJTd2lzc0FjYWRlbWljLkNpdGF2aS5QZXJzb24sIFN3aXNzQWNhZGVtaWMuQ2l0YXZpIiwiTGFzdE5hbWUiOiJBR0VCIiwiUHJvdGVjdGVkIjpmYWxzZSwiU2V4IjowLCJDcmVhdGVkQnkiOiJfTkVNIiwiQ3JlYXRlZE9uIjoiMjAyMS0wMS0wMlQxMDowOTowMyIsIk1vZGlmaWVkQnkiOiJfTkVNIiwiSWQiOiI3MTk5ZTBhMy1jYTQ0LTQ1NmUtYmFjOC0wNDc2YWU2NTA2NjkiLCJNb2RpZmllZE9uIjoiMjAyMS0wMS0wMlQxMDowOTowNi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}</w:instrText>
          </w:r>
          <w:r w:rsidR="007951E8">
            <w:fldChar w:fldCharType="separate"/>
          </w:r>
          <w:r w:rsidR="00975E66">
            <w:t>[4]</w:t>
          </w:r>
          <w:r w:rsidR="007951E8">
            <w:fldChar w:fldCharType="end"/>
          </w:r>
        </w:sdtContent>
      </w:sdt>
      <w:r w:rsidR="00396040">
        <w:t>.</w:t>
      </w:r>
      <w:r>
        <w:t xml:space="preserve"> </w:t>
      </w:r>
      <w:r w:rsidR="00396040">
        <w:t>Eine Umstellung erfordert e</w:t>
      </w:r>
      <w:r>
        <w:t xml:space="preserve">rhebliche Mengen </w:t>
      </w:r>
      <w:r w:rsidR="00B40869">
        <w:t>erneuerbarer Energieträger mit</w:t>
      </w:r>
      <w:r>
        <w:t xml:space="preserve"> direktem Zusammenhang </w:t>
      </w:r>
      <w:r w:rsidR="00B40869">
        <w:t xml:space="preserve">der Integration neuer Prozesse oder Prozessdesigns, </w:t>
      </w:r>
      <w:r>
        <w:t>die mit erheb</w:t>
      </w:r>
      <w:r w:rsidR="00B40869">
        <w:t>lichen Unsicherheiten behaftet sind</w:t>
      </w:r>
      <w:r>
        <w:t>. Ein detaillierteres systemisch</w:t>
      </w:r>
      <w:r w:rsidR="00A05B2E">
        <w:t>es Verständnis der Integration von Prozessen und Energieträgern (z.B. Wasserstoff) i</w:t>
      </w:r>
      <w:r>
        <w:t>n das Energiesystem ist erforderlich und würde die Entwicklung von politischen Strategien erleichtern. Detaillierte Kenntnisse über die räumliche Verteilung von Energiebedarfspotenzialen fehlen in vielen Systemanalysen oder werden unter eher generischen Annahmen mit unzureichender Genauigkeit ermittelt.</w:t>
      </w:r>
    </w:p>
    <w:p w14:paraId="041A4D9D" w14:textId="1CA7E754" w:rsidR="005E4D4F" w:rsidRPr="005E4D4F" w:rsidRDefault="00DA582C" w:rsidP="00DA582C">
      <w:r>
        <w:t xml:space="preserve">Um diese Lücke zu schließen, haben wir mit der Modellierung </w:t>
      </w:r>
      <w:r w:rsidR="00B40869">
        <w:t>eines</w:t>
      </w:r>
      <w:r>
        <w:t xml:space="preserve"> </w:t>
      </w:r>
      <w:r w:rsidR="00B40869">
        <w:t>standortscharfen bottom-up Ansatzes</w:t>
      </w:r>
      <w:r>
        <w:t xml:space="preserve"> zur </w:t>
      </w:r>
      <w:r w:rsidR="00B40869">
        <w:t>Transformation</w:t>
      </w:r>
      <w:r>
        <w:t xml:space="preserve"> energieintensiver Industrien</w:t>
      </w:r>
      <w:r w:rsidR="00B40869">
        <w:t xml:space="preserve"> begonnen</w:t>
      </w:r>
      <w:r>
        <w:t>. Dabei berücksichtigen wir insbesondere den georeferenzierten Industrieanlagenbestand und dessen Altersverteilung sowie die wirtschaftliche Neuausrichtung der Standorte für eine klimaneutrale Industrieproduktion.</w:t>
      </w:r>
    </w:p>
    <w:p w14:paraId="00203371" w14:textId="18CF7471" w:rsidR="005E4D4F" w:rsidRPr="005E4D4F" w:rsidRDefault="00D344A8" w:rsidP="005E4D4F">
      <w:pPr>
        <w:pStyle w:val="Ueberschrift"/>
      </w:pPr>
      <w:r>
        <w:t>Methodik</w:t>
      </w:r>
    </w:p>
    <w:p w14:paraId="70B841D0" w14:textId="4AF811F8" w:rsidR="00DA582C" w:rsidRDefault="00DA582C" w:rsidP="00DA582C">
      <w:r>
        <w:t xml:space="preserve">Der </w:t>
      </w:r>
      <w:r w:rsidR="00287BB4">
        <w:t>Ansatz</w:t>
      </w:r>
      <w:r>
        <w:t xml:space="preserve"> </w:t>
      </w:r>
      <w:r w:rsidR="00287BB4">
        <w:t>zur detaillierten</w:t>
      </w:r>
      <w:r>
        <w:t xml:space="preserve"> Modellierung des Industriesektors beinhaltet ein neues Diffusionsmodell für vertief</w:t>
      </w:r>
      <w:r w:rsidR="00287BB4">
        <w:t>ende</w:t>
      </w:r>
      <w:r>
        <w:t xml:space="preserve"> Analysen des Technologiehochlaufs in energieintensiven Industrien mit hoher zeitlicher und räumlicher Auflösung. Als Basis dient eine </w:t>
      </w:r>
      <w:r w:rsidR="00287BB4">
        <w:t xml:space="preserve">georeferenzierte </w:t>
      </w:r>
      <w:r>
        <w:t xml:space="preserve">Industriedatenbank </w:t>
      </w:r>
      <w:r w:rsidR="00287BB4">
        <w:t>sowie weitere</w:t>
      </w:r>
      <w:r>
        <w:t xml:space="preserve"> techno-ökonomischen Inputdaten zu neuen Prozessen und allgemeinen Szenariodefinitionen. Ein agentenbasierter Ansatz ermöglicht es, die Industriestandorte mit ihren spezifischen Eigenschaften individuell zu betrachten. </w:t>
      </w:r>
    </w:p>
    <w:p w14:paraId="67C1AFF6" w14:textId="0C859404" w:rsidR="00DA582C" w:rsidRDefault="00DA582C" w:rsidP="00DA582C">
      <w:r>
        <w:t>Die Transformation durch Diffusion neuer klimaneutraler Technologien wird über prozessspezifische Reinvestitionszyklen und ökonomische Indikatoren berechnet, die sich aus techno-ökonomischen Parametern der Technologien (</w:t>
      </w:r>
      <w:r w:rsidR="00A05B2E">
        <w:t>Kosten (CAPEX &amp; OPEX)</w:t>
      </w:r>
      <w:r>
        <w:t xml:space="preserve">, </w:t>
      </w:r>
      <w:r w:rsidR="00A05B2E">
        <w:t>spez. Energiebedarf</w:t>
      </w:r>
      <w:r>
        <w:t>, Emissionen, etc.) sowie den szenariospezifischen Rahmenbedingungen (Energieträgerpreise, CO</w:t>
      </w:r>
      <w:r w:rsidRPr="00A05B2E">
        <w:rPr>
          <w:vertAlign w:val="subscript"/>
        </w:rPr>
        <w:t>2</w:t>
      </w:r>
      <w:r>
        <w:t xml:space="preserve">-Preis, etc.) ergeben. Der Output des Modells umfasst neben der Technologieentscheidung und der entsprechenden Marktdiffusion auch </w:t>
      </w:r>
      <w:r w:rsidR="00287BB4">
        <w:t>Berechnungen</w:t>
      </w:r>
      <w:r>
        <w:t xml:space="preserve"> </w:t>
      </w:r>
      <w:r w:rsidR="00287BB4">
        <w:t>zu Energiebedarf, Investitionen</w:t>
      </w:r>
      <w:r>
        <w:t>, Produktionsmengen, Reste</w:t>
      </w:r>
      <w:r w:rsidR="00287BB4">
        <w:t>missionen und Produktionskosten.</w:t>
      </w:r>
    </w:p>
    <w:p w14:paraId="0C8863AF" w14:textId="6784DC6E" w:rsidR="00A05B2E" w:rsidRDefault="00DA582C" w:rsidP="00A05B2E">
      <w:r>
        <w:t>Die räumliche Auflösung der Modellierung ist standort- oder sogar anlagenspezifisch und kann auf beliebige regionale Standards (z.B. NUTS3-Ebene) aggregiert werden</w:t>
      </w:r>
      <w:r w:rsidR="007951E8">
        <w:t>.</w:t>
      </w:r>
    </w:p>
    <w:p w14:paraId="6E621A63" w14:textId="3687C110" w:rsidR="005E4D4F" w:rsidRDefault="00A05B2E" w:rsidP="00DA582C">
      <w:r>
        <w:t>Die Modellentwicklung erfolgt in Python und eine direkte kartografische Darstellung der Ergebnisse und die Visualisierung ist mit Hilfe des</w:t>
      </w:r>
      <w:r w:rsidR="0013153A">
        <w:t xml:space="preserve"> Python-Pakets mesa-geo möglich</w:t>
      </w:r>
      <w:r w:rsidR="007951E8">
        <w:t xml:space="preserve"> </w:t>
      </w:r>
      <w:sdt>
        <w:sdtPr>
          <w:alias w:val="To edit, see citavi.com/edit"/>
          <w:tag w:val="CitaviPlaceholder#3c3b3353-9225-46cd-a9c1-9b07f41d8896"/>
          <w:id w:val="-1747416661"/>
          <w:placeholder>
            <w:docPart w:val="DefaultPlaceholder_-1854013440"/>
          </w:placeholder>
        </w:sdtPr>
        <w:sdtEndPr/>
        <w:sdtContent>
          <w:r w:rsidR="00975E66">
            <w:fldChar w:fldCharType="begin"/>
          </w:r>
          <w:r w:rsidR="00975E6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1YWRhNmExLTc1MjItNDMyNi1hYWE4LWZmYjVlNjRiZGZmMCIsIlJhbmdlTGVuZ3RoIjozLCJSZWZlcmVuY2VJZCI6ImEwYzc2NzFmLTVhMDUtNDBjNy1hNzRjLTZjN2RjNDgwN2Y1O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TQ1LzM1NTc5ODkuMzU2NjE1Ny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xNDUvMzU1Nzk4OS4zNTY2MTU3IiwiVXJpU3RyaW5nIjoiaHR0cHM6Ly9kb2kub3JnLzEwLjExNDUvMzU1Nzk4OS4zNTY2MTU3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}</w:instrText>
          </w:r>
          <w:r w:rsidR="00975E66">
            <w:fldChar w:fldCharType="separate"/>
          </w:r>
          <w:r w:rsidR="00975E66">
            <w:t>[5]</w:t>
          </w:r>
          <w:r w:rsidR="00975E66">
            <w:fldChar w:fldCharType="end"/>
          </w:r>
        </w:sdtContent>
      </w:sdt>
      <w:r w:rsidR="0013153A">
        <w:t xml:space="preserve">. </w:t>
      </w:r>
      <w:r>
        <w:t>Es ermöglicht die Visualisierung der Berechnungen als Live-Demo zur Veranschaulichung der räumlichen Verteilung und der zeitlichen Entwicklung de</w:t>
      </w:r>
      <w:r w:rsidR="00491F7D">
        <w:t>r standortscharfen</w:t>
      </w:r>
      <w:r>
        <w:t xml:space="preserve"> </w:t>
      </w:r>
      <w:r w:rsidR="00491F7D">
        <w:t>Transformation</w:t>
      </w:r>
      <w:r>
        <w:t>.</w:t>
      </w:r>
    </w:p>
    <w:p w14:paraId="31D89268" w14:textId="7C5601F6" w:rsidR="00491F7D" w:rsidRPr="005E71A7" w:rsidRDefault="00491F7D" w:rsidP="008575C7">
      <w:pPr>
        <w:rPr>
          <w:b/>
          <w:spacing w:val="-5"/>
          <w:sz w:val="22"/>
          <w:lang w:eastAsia="de-DE"/>
        </w:rPr>
      </w:pPr>
      <w:r>
        <w:t>.</w:t>
      </w:r>
      <w:r w:rsidRPr="005E71A7">
        <w:br w:type="page"/>
      </w:r>
    </w:p>
    <w:p w14:paraId="3B0F9A18" w14:textId="37FEBC57" w:rsidR="00031CE0" w:rsidRPr="005E71A7" w:rsidRDefault="005E4D4F" w:rsidP="00491F7D">
      <w:pPr>
        <w:pStyle w:val="Ueberschrift"/>
      </w:pPr>
      <w:r w:rsidRPr="005E71A7">
        <w:lastRenderedPageBreak/>
        <w:t>Ergebnisse und Schlussfolgerungen</w:t>
      </w:r>
    </w:p>
    <w:p w14:paraId="60976C46" w14:textId="706236C9" w:rsidR="00031CE0" w:rsidRDefault="00031CE0" w:rsidP="00031CE0">
      <w:r>
        <w:t>Die Ergebnisse zeigen die standortspezifische Modellierung von Transformationspfaden der europäischen Schwerindustrie in jährlicher Auflösung auf Basis des Anlagenalters der derzeit bestehenden Produktionseinheiten und typischer Reinvestitionszyklen pro Technologie. Darüber hinaus zeigt die räumliche Auflösung und der techno-ökonomische Vergleich der Technologien den zeitlichen Bedarf für den Infrastrukturausbau.</w:t>
      </w:r>
    </w:p>
    <w:p w14:paraId="02DCC2D8" w14:textId="4F017ECD" w:rsidR="00CD7ECD" w:rsidRDefault="00CD7ECD" w:rsidP="00031CE0">
      <w:r>
        <w:t>Im Vortrag wird im Detail auf Modellergebnisse zum Hochlauf von Wasserstoff eingegangen. Die wichtigsten Industriesektoren aufgrund deren Bedarf</w:t>
      </w:r>
      <w:r w:rsidR="00B74D95">
        <w:t xml:space="preserve"> an Wasserstoff zur stofflichen Nutzung und Reduktionsmittel sind dabei die Grundstoffchemie und die Primärstahlerzeugung</w:t>
      </w:r>
      <w:r w:rsidR="007951E8">
        <w:t xml:space="preserve"> </w:t>
      </w:r>
      <w:sdt>
        <w:sdtPr>
          <w:alias w:val="To edit, see citavi.com/edit"/>
          <w:tag w:val="CitaviPlaceholder#81127c2d-a86a-4347-a460-2b19acfd72bc"/>
          <w:id w:val="1721866677"/>
          <w:placeholder>
            <w:docPart w:val="DefaultPlaceholder_-1854013440"/>
          </w:placeholder>
        </w:sdtPr>
        <w:sdtEndPr/>
        <w:sdtContent>
          <w:r w:rsidR="007951E8">
            <w:fldChar w:fldCharType="begin"/>
          </w:r>
          <w:r w:rsidR="00975E6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4ODQ3YzBkLTAzOTktNDliMy1hOTM4LWJlY2JlYzNkMjhjMyIsIlJhbmdlTGVuZ3RoIjozLCJSZWZlcmVuY2VJZCI6ImFmNjFjMGI3LTRmYTctNDI2Ny05YjZkLThlN2IxYTNlMTBm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qLmVuY29ubWFuLjIwMjEuMTE1MDUyIiwiRWRpdG9ycyI6W10sIkV2YWx1YXRpb25Db21wbGV4aXR5IjowLCJFdmFsdWF0aW9uU291cmNlVGV4dEZvcm1hdCI6MCwiR3JvdXBzIjpbXSwiSGFzTGFiZWwxIjpmYWxzZSwiSGFzTGFiZWwyIjpmYWxzZSwiS2V5d29yZHMiOltd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MTAuMTAxNi9qLmVuY29ubWFuLjIwMjEuMTE1MDUyIiwiVXJpU3RyaW5nIjoiaHR0cHM6Ly9kb2kub3JnLzEwLjEwMTYvai5lbmNvbm1hbi4yMDIxLjExNTA1Mi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}</w:instrText>
          </w:r>
          <w:r w:rsidR="007951E8">
            <w:fldChar w:fldCharType="separate"/>
          </w:r>
          <w:r w:rsidR="00975E66">
            <w:t>[6]</w:t>
          </w:r>
          <w:r w:rsidR="007951E8">
            <w:fldChar w:fldCharType="end"/>
          </w:r>
        </w:sdtContent>
      </w:sdt>
      <w:r w:rsidR="00B74D95">
        <w:t>.</w:t>
      </w:r>
    </w:p>
    <w:p w14:paraId="523B7768" w14:textId="2EA6D712" w:rsidR="00047EC5" w:rsidRDefault="008575C7" w:rsidP="00047EC5">
      <w:pPr>
        <w:keepNext/>
        <w:jc w:val="center"/>
      </w:pPr>
      <w:r>
        <w:rPr>
          <w:noProof/>
          <w:lang w:eastAsia="de-DE"/>
        </w:rPr>
        <w:drawing>
          <wp:inline distT="0" distB="0" distL="0" distR="0" wp14:anchorId="4980443C" wp14:editId="6563C6B8">
            <wp:extent cx="2279176" cy="1133101"/>
            <wp:effectExtent l="0" t="0" r="6985" b="0"/>
            <wp:docPr id="132" name="Grafik 132" descr="C:\Users\NEM\AppData\Local\Microsoft\Windows\INetCache\Content.Word\Bil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2"/>
                    <pic:cNvPicPr/>
                  </pic:nvPicPr>
                  <pic:blipFill>
                    <a:blip r:embed="rId9" cstate="print">
                      <a:extLst>
                        <a:ext uri="{28A0092B-C50C-407E-A947-70E740481C1C}">
                          <a14:useLocalDpi xmlns:a14="http://schemas.microsoft.com/office/drawing/2010/main" val="0"/>
                        </a:ext>
                      </a:extLst>
                    </a:blip>
                    <a:srcRect t="21558"/>
                    <a:stretch>
                      <a:fillRect/>
                    </a:stretch>
                  </pic:blipFill>
                  <pic:spPr>
                    <a:xfrm>
                      <a:off x="0" y="0"/>
                      <a:ext cx="2279176" cy="1133101"/>
                    </a:xfrm>
                    <a:prstGeom prst="rect">
                      <a:avLst/>
                    </a:prstGeom>
                  </pic:spPr>
                </pic:pic>
              </a:graphicData>
            </a:graphic>
          </wp:inline>
        </w:drawing>
      </w:r>
    </w:p>
    <w:p w14:paraId="51958702" w14:textId="4F8DBFE5" w:rsidR="00975E66" w:rsidRDefault="00975E66" w:rsidP="00047EC5">
      <w:pPr>
        <w:keepNext/>
        <w:jc w:val="center"/>
      </w:pPr>
      <w:r>
        <w:rPr>
          <w:noProof/>
          <w:lang w:eastAsia="de-DE"/>
        </w:rPr>
        <w:drawing>
          <wp:inline distT="0" distB="0" distL="0" distR="0" wp14:anchorId="0C07A470" wp14:editId="6CE3B531">
            <wp:extent cx="1971248" cy="10666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09155" cy="124954"/>
                    </a:xfrm>
                    <a:prstGeom prst="rect">
                      <a:avLst/>
                    </a:prstGeom>
                  </pic:spPr>
                </pic:pic>
              </a:graphicData>
            </a:graphic>
          </wp:inline>
        </w:drawing>
      </w:r>
    </w:p>
    <w:p w14:paraId="4E60B26A" w14:textId="20305D2F" w:rsidR="00047EC5" w:rsidRPr="00047EC5" w:rsidRDefault="00047EC5" w:rsidP="00047EC5">
      <w:pPr>
        <w:spacing w:after="240"/>
        <w:jc w:val="center"/>
        <w:rPr>
          <w:i/>
        </w:rPr>
      </w:pPr>
      <w:bookmarkStart w:id="1" w:name="_Ref119402536"/>
      <w:r w:rsidRPr="00047EC5">
        <w:rPr>
          <w:b/>
          <w:i/>
        </w:rPr>
        <w:t xml:space="preserve">Abbildung </w:t>
      </w:r>
      <w:r w:rsidRPr="00047EC5">
        <w:rPr>
          <w:b/>
          <w:i/>
        </w:rPr>
        <w:fldChar w:fldCharType="begin"/>
      </w:r>
      <w:r w:rsidRPr="00047EC5">
        <w:rPr>
          <w:b/>
          <w:i/>
        </w:rPr>
        <w:instrText xml:space="preserve"> SEQ Figure \* ARABIC </w:instrText>
      </w:r>
      <w:r w:rsidRPr="00047EC5">
        <w:rPr>
          <w:b/>
          <w:i/>
        </w:rPr>
        <w:fldChar w:fldCharType="separate"/>
      </w:r>
      <w:r w:rsidRPr="00047EC5">
        <w:rPr>
          <w:b/>
          <w:i/>
          <w:noProof/>
        </w:rPr>
        <w:t>1</w:t>
      </w:r>
      <w:r w:rsidRPr="00047EC5">
        <w:rPr>
          <w:b/>
          <w:i/>
        </w:rPr>
        <w:fldChar w:fldCharType="end"/>
      </w:r>
      <w:bookmarkEnd w:id="1"/>
      <w:r w:rsidRPr="00047EC5">
        <w:rPr>
          <w:b/>
          <w:i/>
        </w:rPr>
        <w:t>:</w:t>
      </w:r>
      <w:r>
        <w:t xml:space="preserve"> </w:t>
      </w:r>
      <w:r>
        <w:rPr>
          <w:i/>
        </w:rPr>
        <w:t>Hochlauf der europäischen Wasserstoffnachfrage der Grundstoffchemie und Primärstahlherstellung auf Basis des Anlagenalters und typischen Reinvestitionszyklen</w:t>
      </w:r>
    </w:p>
    <w:p w14:paraId="6FAEEC76" w14:textId="403FB522" w:rsidR="00B74D95" w:rsidRDefault="00047EC5" w:rsidP="00047EC5">
      <w:r>
        <w:fldChar w:fldCharType="begin"/>
      </w:r>
      <w:r>
        <w:instrText xml:space="preserve"> REF _Ref119402536 \h </w:instrText>
      </w:r>
      <w:r>
        <w:fldChar w:fldCharType="separate"/>
      </w:r>
      <w:r w:rsidRPr="00047EC5">
        <w:rPr>
          <w:b/>
          <w:i/>
        </w:rPr>
        <w:t xml:space="preserve">Abbildung </w:t>
      </w:r>
      <w:r w:rsidRPr="00047EC5">
        <w:rPr>
          <w:b/>
          <w:i/>
          <w:noProof/>
        </w:rPr>
        <w:t>1</w:t>
      </w:r>
      <w:r>
        <w:fldChar w:fldCharType="end"/>
      </w:r>
      <w:r w:rsidR="00B74D95">
        <w:t xml:space="preserve"> zeigt den zeitlichen Hochlauf der europäischen Wasserstoffnachfrage der Kern</w:t>
      </w:r>
      <w:r>
        <w:t>produkte (High Value C</w:t>
      </w:r>
      <w:r w:rsidR="00B74D95">
        <w:t xml:space="preserve">hemicals (HVC), Ammoniak, Methanol und Primärstahl). Die räumliche Verortung dieser Mengen ist dazu passend in </w:t>
      </w:r>
      <w:r>
        <w:fldChar w:fldCharType="begin"/>
      </w:r>
      <w:r>
        <w:instrText xml:space="preserve"> REF _Ref119402548 \h </w:instrText>
      </w:r>
      <w:r>
        <w:fldChar w:fldCharType="separate"/>
      </w:r>
      <w:r w:rsidRPr="00047EC5">
        <w:rPr>
          <w:b/>
          <w:i/>
        </w:rPr>
        <w:t xml:space="preserve">Abbildung </w:t>
      </w:r>
      <w:r w:rsidRPr="00047EC5">
        <w:rPr>
          <w:b/>
          <w:i/>
          <w:noProof/>
        </w:rPr>
        <w:t>2</w:t>
      </w:r>
      <w:r>
        <w:fldChar w:fldCharType="end"/>
      </w:r>
      <w:r>
        <w:t xml:space="preserve"> </w:t>
      </w:r>
      <w:r w:rsidR="00B74D95">
        <w:t>für die Jahre 2030 und 2045 dargestellt.</w:t>
      </w:r>
    </w:p>
    <w:tbl>
      <w:tblPr>
        <w:tblStyle w:val="Tabellenraster"/>
        <w:tblW w:w="0" w:type="auto"/>
        <w:tblLook w:val="04A0" w:firstRow="1" w:lastRow="0" w:firstColumn="1" w:lastColumn="0" w:noHBand="0" w:noVBand="1"/>
      </w:tblPr>
      <w:tblGrid>
        <w:gridCol w:w="3034"/>
        <w:gridCol w:w="3063"/>
        <w:gridCol w:w="2975"/>
      </w:tblGrid>
      <w:tr w:rsidR="008575C7" w:rsidRPr="000B08A2" w14:paraId="12F61CAE" w14:textId="77777777" w:rsidTr="00372B40">
        <w:tc>
          <w:tcPr>
            <w:tcW w:w="3034" w:type="dxa"/>
            <w:tcBorders>
              <w:top w:val="nil"/>
              <w:left w:val="nil"/>
              <w:bottom w:val="nil"/>
              <w:right w:val="nil"/>
            </w:tcBorders>
          </w:tcPr>
          <w:p w14:paraId="0DC5677F" w14:textId="77777777" w:rsidR="008575C7" w:rsidRPr="00BC52EA" w:rsidRDefault="008575C7" w:rsidP="00372B40">
            <w:pPr>
              <w:keepNext/>
              <w:jc w:val="center"/>
              <w:rPr>
                <w:sz w:val="22"/>
              </w:rPr>
            </w:pPr>
            <w:r>
              <w:rPr>
                <w:noProof/>
                <w:lang w:eastAsia="de-DE"/>
              </w:rPr>
              <w:drawing>
                <wp:inline distT="0" distB="0" distL="0" distR="0" wp14:anchorId="06B7099E" wp14:editId="02A8DCF6">
                  <wp:extent cx="1719618" cy="1719618"/>
                  <wp:effectExtent l="0" t="0" r="0" b="0"/>
                  <wp:docPr id="117" name="Grafik 117" descr="C:\Users\NEM\AppData\Local\Microsoft\Windows\INetCache\Content.Word\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EM\AppData\Local\Microsoft\Windows\INetCache\Content.Word\AL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1045" cy="1721045"/>
                          </a:xfrm>
                          <a:prstGeom prst="rect">
                            <a:avLst/>
                          </a:prstGeom>
                          <a:noFill/>
                          <a:ln>
                            <a:noFill/>
                          </a:ln>
                        </pic:spPr>
                      </pic:pic>
                    </a:graphicData>
                  </a:graphic>
                </wp:inline>
              </w:drawing>
            </w:r>
          </w:p>
          <w:p w14:paraId="6920306D" w14:textId="389A4BC1" w:rsidR="008575C7" w:rsidRPr="002F509B" w:rsidRDefault="00975E66" w:rsidP="00372B40">
            <w:pPr>
              <w:keepNext/>
              <w:jc w:val="center"/>
              <w:rPr>
                <w:sz w:val="22"/>
                <w:lang w:val="en-GB"/>
              </w:rPr>
            </w:pPr>
            <w:r>
              <w:rPr>
                <w:sz w:val="22"/>
                <w:lang w:val="en-GB"/>
              </w:rPr>
              <w:t>Alle Standorte</w:t>
            </w:r>
          </w:p>
          <w:p w14:paraId="12EEB5C5" w14:textId="77777777" w:rsidR="008575C7" w:rsidRPr="002F509B" w:rsidRDefault="008575C7" w:rsidP="00372B40">
            <w:pPr>
              <w:keepNext/>
              <w:jc w:val="center"/>
              <w:rPr>
                <w:sz w:val="22"/>
                <w:lang w:val="en-GB"/>
              </w:rPr>
            </w:pPr>
            <w:r w:rsidRPr="002F509B">
              <w:rPr>
                <w:sz w:val="22"/>
                <w:lang w:val="en-GB"/>
              </w:rPr>
              <w:t>(a)</w:t>
            </w:r>
          </w:p>
        </w:tc>
        <w:tc>
          <w:tcPr>
            <w:tcW w:w="3063" w:type="dxa"/>
            <w:tcBorders>
              <w:top w:val="nil"/>
              <w:left w:val="nil"/>
              <w:bottom w:val="nil"/>
              <w:right w:val="nil"/>
            </w:tcBorders>
          </w:tcPr>
          <w:p w14:paraId="6ABFF6D1" w14:textId="77777777" w:rsidR="008575C7" w:rsidRPr="000B08A2" w:rsidRDefault="008575C7" w:rsidP="00372B40">
            <w:pPr>
              <w:keepNext/>
              <w:jc w:val="center"/>
              <w:rPr>
                <w:sz w:val="22"/>
              </w:rPr>
            </w:pPr>
            <w:r>
              <w:rPr>
                <w:noProof/>
                <w:lang w:eastAsia="de-DE"/>
              </w:rPr>
              <w:drawing>
                <wp:inline distT="0" distB="0" distL="0" distR="0" wp14:anchorId="7E1F9B9A" wp14:editId="5B44E183">
                  <wp:extent cx="1692322" cy="1692322"/>
                  <wp:effectExtent l="0" t="0" r="3175" b="3175"/>
                  <wp:docPr id="118" name="Grafik 118" descr="C:\Users\NEM\AppData\Local\Microsoft\Windows\INetCache\Content.Word\Uptake 2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EM\AppData\Local\Microsoft\Windows\INetCache\Content.Word\Uptake 203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766" cy="1692766"/>
                          </a:xfrm>
                          <a:prstGeom prst="rect">
                            <a:avLst/>
                          </a:prstGeom>
                          <a:noFill/>
                          <a:ln>
                            <a:noFill/>
                          </a:ln>
                        </pic:spPr>
                      </pic:pic>
                    </a:graphicData>
                  </a:graphic>
                </wp:inline>
              </w:drawing>
            </w:r>
          </w:p>
          <w:p w14:paraId="616CAF3A" w14:textId="7A84C8CE" w:rsidR="008575C7" w:rsidRDefault="008575C7" w:rsidP="00372B40">
            <w:pPr>
              <w:keepNext/>
              <w:jc w:val="center"/>
              <w:rPr>
                <w:sz w:val="22"/>
              </w:rPr>
            </w:pPr>
            <w:r>
              <w:t>Europ</w:t>
            </w:r>
            <w:r w:rsidR="00975E66">
              <w:t>a</w:t>
            </w:r>
            <w:r>
              <w:t xml:space="preserve"> 2030</w:t>
            </w:r>
          </w:p>
          <w:p w14:paraId="218B3537" w14:textId="77777777" w:rsidR="008575C7" w:rsidRPr="000B08A2" w:rsidRDefault="008575C7" w:rsidP="00372B40">
            <w:pPr>
              <w:keepNext/>
              <w:jc w:val="center"/>
              <w:rPr>
                <w:sz w:val="22"/>
              </w:rPr>
            </w:pPr>
            <w:r w:rsidRPr="000B08A2">
              <w:rPr>
                <w:sz w:val="22"/>
              </w:rPr>
              <w:t>(b)</w:t>
            </w:r>
          </w:p>
        </w:tc>
        <w:tc>
          <w:tcPr>
            <w:tcW w:w="2975" w:type="dxa"/>
            <w:tcBorders>
              <w:top w:val="nil"/>
              <w:left w:val="nil"/>
              <w:bottom w:val="nil"/>
              <w:right w:val="nil"/>
            </w:tcBorders>
          </w:tcPr>
          <w:p w14:paraId="74853D18" w14:textId="77777777" w:rsidR="008575C7" w:rsidRDefault="008575C7" w:rsidP="00372B40">
            <w:pPr>
              <w:keepNext/>
              <w:jc w:val="center"/>
              <w:rPr>
                <w:noProof/>
                <w:sz w:val="22"/>
              </w:rPr>
            </w:pPr>
            <w:r>
              <w:rPr>
                <w:noProof/>
                <w:lang w:eastAsia="de-DE"/>
              </w:rPr>
              <w:drawing>
                <wp:inline distT="0" distB="0" distL="0" distR="0" wp14:anchorId="5196AF72" wp14:editId="32514C4F">
                  <wp:extent cx="1692275" cy="1692275"/>
                  <wp:effectExtent l="0" t="0" r="3175" b="3175"/>
                  <wp:docPr id="119" name="Grafik 119" descr="C:\Users\NEM\AppData\Local\Microsoft\Windows\INetCache\Content.Word\Uptake 2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NEM\AppData\Local\Microsoft\Windows\INetCache\Content.Word\Uptake 204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3287" cy="1693287"/>
                          </a:xfrm>
                          <a:prstGeom prst="rect">
                            <a:avLst/>
                          </a:prstGeom>
                          <a:noFill/>
                          <a:ln>
                            <a:noFill/>
                          </a:ln>
                        </pic:spPr>
                      </pic:pic>
                    </a:graphicData>
                  </a:graphic>
                </wp:inline>
              </w:drawing>
            </w:r>
          </w:p>
          <w:p w14:paraId="3685B1D0" w14:textId="30ACF7E1" w:rsidR="008575C7" w:rsidRDefault="00975E66" w:rsidP="00372B40">
            <w:pPr>
              <w:keepNext/>
              <w:jc w:val="center"/>
              <w:rPr>
                <w:noProof/>
                <w:sz w:val="22"/>
              </w:rPr>
            </w:pPr>
            <w:r>
              <w:t>Europa</w:t>
            </w:r>
            <w:r w:rsidR="008575C7">
              <w:t xml:space="preserve"> 2045</w:t>
            </w:r>
          </w:p>
          <w:p w14:paraId="42034836" w14:textId="77777777" w:rsidR="008575C7" w:rsidRPr="000B08A2" w:rsidRDefault="008575C7" w:rsidP="00372B40">
            <w:pPr>
              <w:keepNext/>
              <w:jc w:val="center"/>
              <w:rPr>
                <w:noProof/>
                <w:sz w:val="22"/>
              </w:rPr>
            </w:pPr>
            <w:r>
              <w:rPr>
                <w:noProof/>
                <w:sz w:val="22"/>
              </w:rPr>
              <w:t>(c)</w:t>
            </w:r>
          </w:p>
        </w:tc>
      </w:tr>
    </w:tbl>
    <w:p w14:paraId="164FAFDA" w14:textId="200814E1" w:rsidR="00372B40" w:rsidRPr="00047EC5" w:rsidRDefault="00047EC5" w:rsidP="00047EC5">
      <w:pPr>
        <w:framePr w:hSpace="141" w:wrap="around" w:vAnchor="text" w:hAnchor="margin" w:y="79"/>
        <w:spacing w:after="240"/>
        <w:jc w:val="center"/>
        <w:rPr>
          <w:i/>
        </w:rPr>
      </w:pPr>
      <w:bookmarkStart w:id="2" w:name="_Ref119402548"/>
      <w:r w:rsidRPr="00047EC5">
        <w:rPr>
          <w:b/>
          <w:i/>
        </w:rPr>
        <w:t>Abbildung</w:t>
      </w:r>
      <w:r w:rsidR="00372B40" w:rsidRPr="00047EC5">
        <w:rPr>
          <w:b/>
          <w:i/>
        </w:rPr>
        <w:t xml:space="preserve"> </w:t>
      </w:r>
      <w:r w:rsidR="00372B40" w:rsidRPr="00047EC5">
        <w:rPr>
          <w:b/>
          <w:i/>
        </w:rPr>
        <w:fldChar w:fldCharType="begin"/>
      </w:r>
      <w:r w:rsidR="00372B40" w:rsidRPr="00047EC5">
        <w:rPr>
          <w:b/>
          <w:i/>
        </w:rPr>
        <w:instrText xml:space="preserve"> SEQ Figure \* ARABIC </w:instrText>
      </w:r>
      <w:r w:rsidR="00372B40" w:rsidRPr="00047EC5">
        <w:rPr>
          <w:b/>
          <w:i/>
        </w:rPr>
        <w:fldChar w:fldCharType="separate"/>
      </w:r>
      <w:r w:rsidRPr="00047EC5">
        <w:rPr>
          <w:b/>
          <w:i/>
          <w:noProof/>
        </w:rPr>
        <w:t>2</w:t>
      </w:r>
      <w:r w:rsidR="00372B40" w:rsidRPr="00047EC5">
        <w:rPr>
          <w:b/>
          <w:i/>
        </w:rPr>
        <w:fldChar w:fldCharType="end"/>
      </w:r>
      <w:bookmarkEnd w:id="2"/>
      <w:r w:rsidR="00372B40" w:rsidRPr="00047EC5">
        <w:rPr>
          <w:b/>
          <w:i/>
        </w:rPr>
        <w:t>:</w:t>
      </w:r>
      <w:r w:rsidR="00372B40">
        <w:t xml:space="preserve"> </w:t>
      </w:r>
      <w:r>
        <w:rPr>
          <w:i/>
        </w:rPr>
        <w:t>Georeferenzierung des europäischen Anlagenbestands für die Grundstoffchemie und Primärstahlherstellung (a) sowie Hochlauf des standortspezifischen Wasserstoffbed</w:t>
      </w:r>
      <w:r w:rsidR="00E81356">
        <w:rPr>
          <w:i/>
        </w:rPr>
        <w:t>arfes auf Grundlage typischer Re</w:t>
      </w:r>
      <w:r>
        <w:rPr>
          <w:i/>
        </w:rPr>
        <w:t>investitionszyklen bis 2030 (b) und 2045 (c)</w:t>
      </w:r>
    </w:p>
    <w:p w14:paraId="27A1FA20" w14:textId="719A1B8A" w:rsidR="002946B8" w:rsidRPr="00803917" w:rsidRDefault="00031CE0" w:rsidP="00227125">
      <w:r>
        <w:t>In diesem Konferenzbeitrag wollen wir einen detaillierten Transformationspfad für ganz Europa vorstellen, der sich auf die industriellen Teilsektoren Eisen und Stahl sowie Basischemikalien (Ammoniak, Methanol, HVC) konzentriert.</w:t>
      </w:r>
    </w:p>
    <w:sdt>
      <w:sdtPr>
        <w:rPr>
          <w:rFonts w:ascii="Arial" w:eastAsia="Times New Roman" w:hAnsi="Arial" w:cs="Times New Roman"/>
          <w:color w:val="auto"/>
          <w:sz w:val="20"/>
          <w:szCs w:val="24"/>
        </w:rPr>
        <w:tag w:val="CitaviBibliography"/>
        <w:id w:val="-1575893729"/>
        <w:placeholder>
          <w:docPart w:val="DefaultPlaceholder_-1854013440"/>
        </w:placeholder>
      </w:sdtPr>
      <w:sdtEndPr/>
      <w:sdtContent>
        <w:p w14:paraId="0B8D0191" w14:textId="61E7D33B" w:rsidR="00975E66" w:rsidRPr="00E81356" w:rsidRDefault="00C7770D" w:rsidP="00975E66">
          <w:pPr>
            <w:pStyle w:val="CitaviBibliographyHeading"/>
          </w:pPr>
          <w:r>
            <w:fldChar w:fldCharType="begin"/>
          </w:r>
          <w:r w:rsidRPr="00E81356">
            <w:instrText>ADDIN CitaviBibliography</w:instrText>
          </w:r>
          <w:r>
            <w:fldChar w:fldCharType="separate"/>
          </w:r>
          <w:r w:rsidR="00975E66" w:rsidRPr="00E81356">
            <w:rPr>
              <w:rFonts w:ascii="Arial" w:hAnsi="Arial" w:cs="Arial"/>
              <w:b/>
              <w:color w:val="auto"/>
              <w:sz w:val="22"/>
              <w:szCs w:val="22"/>
            </w:rPr>
            <w:t>Literatur</w:t>
          </w:r>
        </w:p>
        <w:p w14:paraId="369E273E" w14:textId="77777777" w:rsidR="00975E66" w:rsidRPr="00E81356" w:rsidRDefault="00975E66" w:rsidP="00975E66">
          <w:pPr>
            <w:pStyle w:val="CitaviBibliographyEntry"/>
          </w:pPr>
          <w:r w:rsidRPr="00E81356">
            <w:t>1.</w:t>
          </w:r>
          <w:r w:rsidRPr="00E81356">
            <w:tab/>
          </w:r>
          <w:bookmarkStart w:id="3" w:name="_CTVL001cbde84bfb8c24184a1fd1a034e0f76ff"/>
          <w:r w:rsidRPr="00E81356">
            <w:t>Eurostat. Energiebilanzen: Germany. Available online: https://ec.europa.eu/eurostat/de/web/energy/data/energy-balances.</w:t>
          </w:r>
        </w:p>
        <w:bookmarkEnd w:id="3"/>
        <w:p w14:paraId="4AC4A438" w14:textId="77777777" w:rsidR="00975E66" w:rsidRPr="00975E66" w:rsidRDefault="00975E66" w:rsidP="00975E66">
          <w:pPr>
            <w:pStyle w:val="CitaviBibliographyEntry"/>
            <w:rPr>
              <w:lang w:val="en-GB"/>
            </w:rPr>
          </w:pPr>
          <w:r w:rsidRPr="00975E66">
            <w:rPr>
              <w:lang w:val="en-GB"/>
            </w:rPr>
            <w:t>2.</w:t>
          </w:r>
          <w:r w:rsidRPr="00975E66">
            <w:rPr>
              <w:lang w:val="en-GB"/>
            </w:rPr>
            <w:tab/>
          </w:r>
          <w:bookmarkStart w:id="4" w:name="_CTVL001505ef60518b243cdb6d3a4f59b58e436"/>
          <w:r w:rsidRPr="00975E66">
            <w:rPr>
              <w:lang w:val="en-GB"/>
            </w:rPr>
            <w:t>European Commission. REPowerEU: A plan to rapidly reduce dependence on Russian fossil fuels and fast forward the green transition</w:t>
          </w:r>
          <w:bookmarkEnd w:id="4"/>
          <w:r w:rsidRPr="00975E66">
            <w:rPr>
              <w:lang w:val="en-GB"/>
            </w:rPr>
            <w:t xml:space="preserve"> </w:t>
          </w:r>
          <w:r w:rsidRPr="00975E66">
            <w:rPr>
              <w:b/>
              <w:lang w:val="en-GB"/>
            </w:rPr>
            <w:t>2022</w:t>
          </w:r>
          <w:r w:rsidRPr="00975E66">
            <w:rPr>
              <w:lang w:val="en-GB"/>
            </w:rPr>
            <w:t>.</w:t>
          </w:r>
        </w:p>
        <w:p w14:paraId="3896F87A" w14:textId="77777777" w:rsidR="00975E66" w:rsidRPr="00975E66" w:rsidRDefault="00975E66" w:rsidP="00975E66">
          <w:pPr>
            <w:pStyle w:val="CitaviBibliographyEntry"/>
            <w:rPr>
              <w:lang w:val="en-GB"/>
            </w:rPr>
          </w:pPr>
          <w:r w:rsidRPr="00975E66">
            <w:rPr>
              <w:lang w:val="en-GB"/>
            </w:rPr>
            <w:t>3.</w:t>
          </w:r>
          <w:r w:rsidRPr="00975E66">
            <w:rPr>
              <w:lang w:val="en-GB"/>
            </w:rPr>
            <w:tab/>
          </w:r>
          <w:bookmarkStart w:id="5" w:name="_CTVL001fe47aace5acd43d4be2140b633f0d6cf"/>
          <w:r w:rsidRPr="00975E66">
            <w:rPr>
              <w:lang w:val="en-GB"/>
            </w:rPr>
            <w:t>European Commission. Fit for 55: delivering the EU's 2030 Climate Target on the way to climate neutrality</w:t>
          </w:r>
          <w:bookmarkEnd w:id="5"/>
          <w:r w:rsidRPr="00975E66">
            <w:rPr>
              <w:lang w:val="en-GB"/>
            </w:rPr>
            <w:t xml:space="preserve"> </w:t>
          </w:r>
          <w:r w:rsidRPr="00975E66">
            <w:rPr>
              <w:b/>
              <w:lang w:val="en-GB"/>
            </w:rPr>
            <w:t>2021</w:t>
          </w:r>
          <w:r w:rsidRPr="00975E66">
            <w:rPr>
              <w:lang w:val="en-GB"/>
            </w:rPr>
            <w:t>.</w:t>
          </w:r>
        </w:p>
        <w:p w14:paraId="7EBD5777" w14:textId="77777777" w:rsidR="00975E66" w:rsidRDefault="00975E66" w:rsidP="00975E66">
          <w:pPr>
            <w:pStyle w:val="CitaviBibliographyEntry"/>
          </w:pPr>
          <w:r>
            <w:t>4.</w:t>
          </w:r>
          <w:r>
            <w:tab/>
          </w:r>
          <w:bookmarkStart w:id="6" w:name="_CTVL0014f1080f5851d418a96d1373c42e233ac"/>
          <w:r>
            <w:t>AGEB. Auswertungstabellen zur Energiebilanz Deutschland. 1990 bis 2018. Edited by Arbeitsgemeinschaft Energiebilanzen e.V.,</w:t>
          </w:r>
          <w:bookmarkEnd w:id="6"/>
          <w:r>
            <w:t xml:space="preserve"> </w:t>
          </w:r>
          <w:r w:rsidRPr="00975E66">
            <w:rPr>
              <w:i/>
            </w:rPr>
            <w:t>2020</w:t>
          </w:r>
          <w:r w:rsidRPr="00975E66">
            <w:t>.</w:t>
          </w:r>
        </w:p>
        <w:p w14:paraId="02DA5051" w14:textId="77777777" w:rsidR="00975E66" w:rsidRPr="00975E66" w:rsidRDefault="00975E66" w:rsidP="00975E66">
          <w:pPr>
            <w:pStyle w:val="CitaviBibliographyEntry"/>
            <w:rPr>
              <w:lang w:val="en-GB"/>
            </w:rPr>
          </w:pPr>
          <w:r w:rsidRPr="00975E66">
            <w:rPr>
              <w:lang w:val="en-GB"/>
            </w:rPr>
            <w:t>5.</w:t>
          </w:r>
          <w:r w:rsidRPr="00975E66">
            <w:rPr>
              <w:lang w:val="en-GB"/>
            </w:rPr>
            <w:tab/>
          </w:r>
          <w:bookmarkStart w:id="7" w:name="_CTVL001a0c7671f5a0540c7a74c6c7dc4807f58"/>
          <w:r w:rsidRPr="00975E66">
            <w:rPr>
              <w:lang w:val="en-GB"/>
            </w:rPr>
            <w:t>Boyu Wang; Vincent Hess; Andrew Crooks. Mesa-Geo: A GIS Extension for the Mesa Agent-Based Modeling Framework in Python.</w:t>
          </w:r>
          <w:bookmarkEnd w:id="7"/>
          <w:r w:rsidRPr="00975E66">
            <w:rPr>
              <w:lang w:val="en-GB"/>
            </w:rPr>
            <w:t xml:space="preserve"> </w:t>
          </w:r>
          <w:r w:rsidRPr="00975E66">
            <w:rPr>
              <w:i/>
              <w:lang w:val="en-GB"/>
            </w:rPr>
            <w:t>The 5th ACM SIGSPATIAL International Workshop on GeoSpatial Simulation</w:t>
          </w:r>
          <w:r w:rsidRPr="00975E66">
            <w:rPr>
              <w:lang w:val="en-GB"/>
            </w:rPr>
            <w:t xml:space="preserve"> </w:t>
          </w:r>
          <w:r w:rsidRPr="00975E66">
            <w:rPr>
              <w:b/>
              <w:lang w:val="en-GB"/>
            </w:rPr>
            <w:t>2022</w:t>
          </w:r>
          <w:r w:rsidRPr="00975E66">
            <w:rPr>
              <w:lang w:val="en-GB"/>
            </w:rPr>
            <w:t>, doi:10.1145/3557989.3566157.</w:t>
          </w:r>
        </w:p>
        <w:p w14:paraId="354BEB81" w14:textId="211B3E3D" w:rsidR="00C7770D" w:rsidRPr="007951E8" w:rsidRDefault="00975E66" w:rsidP="00975E66">
          <w:pPr>
            <w:pStyle w:val="CitaviBibliographyEntry"/>
          </w:pPr>
          <w:r w:rsidRPr="00975E66">
            <w:rPr>
              <w:lang w:val="en-GB"/>
            </w:rPr>
            <w:t>6.</w:t>
          </w:r>
          <w:r w:rsidRPr="00975E66">
            <w:rPr>
              <w:lang w:val="en-GB"/>
            </w:rPr>
            <w:tab/>
          </w:r>
          <w:bookmarkStart w:id="8" w:name="_CTVL001af61c0b74fa742679b6d8e7b1a3e10fb"/>
          <w:r w:rsidRPr="00975E66">
            <w:rPr>
              <w:lang w:val="en-GB"/>
            </w:rPr>
            <w:t>Neuwirth, M.; Fleiter, T.; Manz, P.; Hofmann, R. The future potential hydrogen demand in energy-intensive industries - a site-specific approach applied to Germany.</w:t>
          </w:r>
          <w:bookmarkEnd w:id="8"/>
          <w:r w:rsidRPr="00975E66">
            <w:rPr>
              <w:lang w:val="en-GB"/>
            </w:rPr>
            <w:t xml:space="preserve"> </w:t>
          </w:r>
          <w:r w:rsidRPr="00975E66">
            <w:rPr>
              <w:i/>
            </w:rPr>
            <w:t>Energy Conversion and Management</w:t>
          </w:r>
          <w:r w:rsidRPr="00975E66">
            <w:t xml:space="preserve"> </w:t>
          </w:r>
          <w:r w:rsidRPr="00975E66">
            <w:rPr>
              <w:b/>
            </w:rPr>
            <w:t>2022</w:t>
          </w:r>
          <w:r w:rsidRPr="00975E66">
            <w:t xml:space="preserve">, </w:t>
          </w:r>
          <w:r w:rsidRPr="00975E66">
            <w:rPr>
              <w:i/>
            </w:rPr>
            <w:t>252</w:t>
          </w:r>
          <w:r w:rsidRPr="00975E66">
            <w:t>, 115052, doi:10.1016/j.enconman.2021.115052.</w:t>
          </w:r>
          <w:r w:rsidR="00C7770D">
            <w:fldChar w:fldCharType="end"/>
          </w:r>
        </w:p>
      </w:sdtContent>
    </w:sdt>
    <w:sectPr w:rsidR="00C7770D" w:rsidRPr="007951E8">
      <w:pgSz w:w="11906" w:h="16838"/>
      <w:pgMar w:top="1417" w:right="1417" w:bottom="1134"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6B4CAB" w16cex:dateUtc="2022-11-15T14:46:55.204Z"/>
</w16cex:commentsExtensible>
</file>

<file path=word/commentsIds.xml><?xml version="1.0" encoding="utf-8"?>
<w16cid:commentsIds xmlns:mc="http://schemas.openxmlformats.org/markup-compatibility/2006" xmlns:w16cid="http://schemas.microsoft.com/office/word/2016/wordml/cid" mc:Ignorable="w16cid">
  <w16cid:commentId w16cid:paraId="2653A006" w16cid:durableId="316B4C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47E0" w14:textId="77777777" w:rsidR="001D5E52" w:rsidRDefault="001D5E52">
      <w:r>
        <w:separator/>
      </w:r>
    </w:p>
  </w:endnote>
  <w:endnote w:type="continuationSeparator" w:id="0">
    <w:p w14:paraId="19A5A449" w14:textId="77777777" w:rsidR="001D5E52" w:rsidRDefault="001D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3FF33" w14:textId="77777777" w:rsidR="001D5E52" w:rsidRDefault="001D5E52">
      <w:r>
        <w:separator/>
      </w:r>
    </w:p>
  </w:footnote>
  <w:footnote w:type="continuationSeparator" w:id="0">
    <w:p w14:paraId="418E55C3" w14:textId="77777777" w:rsidR="001D5E52" w:rsidRDefault="001D5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8" w:nlCheck="1" w:checkStyle="1"/>
  <w:activeWritingStyle w:appName="MSWord" w:lang="de-DE" w:vendorID="64" w:dllVersion="131078" w:nlCheck="1" w:checkStyle="0"/>
  <w:activeWritingStyle w:appName="MSWord" w:lang="de-A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4F"/>
    <w:rsid w:val="00010E92"/>
    <w:rsid w:val="000138C8"/>
    <w:rsid w:val="00031CE0"/>
    <w:rsid w:val="00047EC5"/>
    <w:rsid w:val="0013153A"/>
    <w:rsid w:val="001D5E52"/>
    <w:rsid w:val="002014D3"/>
    <w:rsid w:val="002100CF"/>
    <w:rsid w:val="00227125"/>
    <w:rsid w:val="00262FD5"/>
    <w:rsid w:val="00287BB4"/>
    <w:rsid w:val="002946B8"/>
    <w:rsid w:val="002D2AF8"/>
    <w:rsid w:val="00335E63"/>
    <w:rsid w:val="00350F98"/>
    <w:rsid w:val="00372B40"/>
    <w:rsid w:val="00372D53"/>
    <w:rsid w:val="00396040"/>
    <w:rsid w:val="003B676F"/>
    <w:rsid w:val="003C28FE"/>
    <w:rsid w:val="003E71E1"/>
    <w:rsid w:val="00483B87"/>
    <w:rsid w:val="00491F7D"/>
    <w:rsid w:val="00564569"/>
    <w:rsid w:val="005B1ADB"/>
    <w:rsid w:val="005E4D4F"/>
    <w:rsid w:val="005E71A7"/>
    <w:rsid w:val="00624D85"/>
    <w:rsid w:val="007378C8"/>
    <w:rsid w:val="00741EC0"/>
    <w:rsid w:val="007865D9"/>
    <w:rsid w:val="007951E8"/>
    <w:rsid w:val="00803917"/>
    <w:rsid w:val="008575C7"/>
    <w:rsid w:val="0089139C"/>
    <w:rsid w:val="009410D4"/>
    <w:rsid w:val="00975E66"/>
    <w:rsid w:val="009D00EF"/>
    <w:rsid w:val="00A05B2E"/>
    <w:rsid w:val="00A07737"/>
    <w:rsid w:val="00A156E4"/>
    <w:rsid w:val="00A6148D"/>
    <w:rsid w:val="00B40869"/>
    <w:rsid w:val="00B74D95"/>
    <w:rsid w:val="00BF05FA"/>
    <w:rsid w:val="00C7770D"/>
    <w:rsid w:val="00CD40C2"/>
    <w:rsid w:val="00CD7ECD"/>
    <w:rsid w:val="00CE1A70"/>
    <w:rsid w:val="00D344A8"/>
    <w:rsid w:val="00D53E86"/>
    <w:rsid w:val="00D736F8"/>
    <w:rsid w:val="00D82BE5"/>
    <w:rsid w:val="00DA582C"/>
    <w:rsid w:val="00E45B6A"/>
    <w:rsid w:val="00E520E6"/>
    <w:rsid w:val="00E81356"/>
    <w:rsid w:val="00F0484C"/>
    <w:rsid w:val="00FB4930"/>
    <w:rsid w:val="00FB69AE"/>
    <w:rsid w:val="00FD5D56"/>
    <w:rsid w:val="13511971"/>
    <w:rsid w:val="45141E83"/>
    <w:rsid w:val="76C75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E8E"/>
  <w15:chartTrackingRefBased/>
  <w15:docId w15:val="{5AB661ED-F8E9-B842-BFAC-3D71C3AF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eastAsia="ko-KR"/>
    </w:rPr>
  </w:style>
  <w:style w:type="paragraph" w:styleId="berschrift1">
    <w:name w:val="heading 1"/>
    <w:basedOn w:val="Standard"/>
    <w:next w:val="Standard"/>
    <w:link w:val="berschrift1Zchn"/>
    <w:uiPriority w:val="9"/>
    <w:qFormat/>
    <w:rsid w:val="00C777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777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7770D"/>
    <w:pPr>
      <w:keepNext/>
      <w:keepLines/>
      <w:spacing w:before="40"/>
      <w:outlineLvl w:val="2"/>
    </w:pPr>
    <w:rPr>
      <w:rFonts w:asciiTheme="majorHAnsi" w:eastAsiaTheme="majorEastAsia" w:hAnsiTheme="majorHAnsi" w:cstheme="majorBidi"/>
      <w:color w:val="1F3763" w:themeColor="accent1" w:themeShade="7F"/>
      <w:sz w:val="24"/>
    </w:rPr>
  </w:style>
  <w:style w:type="paragraph" w:styleId="berschrift4">
    <w:name w:val="heading 4"/>
    <w:basedOn w:val="Standard"/>
    <w:next w:val="Standard"/>
    <w:link w:val="berschrift4Zchn"/>
    <w:uiPriority w:val="9"/>
    <w:semiHidden/>
    <w:unhideWhenUsed/>
    <w:qFormat/>
    <w:rsid w:val="00C7770D"/>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7770D"/>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7770D"/>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C7770D"/>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C777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777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character" w:styleId="Hyperlink">
    <w:name w:val="Hyperlink"/>
    <w:basedOn w:val="Absatz-Standardschriftart"/>
    <w:uiPriority w:val="99"/>
    <w:unhideWhenUsed/>
    <w:rsid w:val="00E45B6A"/>
    <w:rPr>
      <w:color w:val="0563C1" w:themeColor="hyperlink"/>
      <w:u w:val="single"/>
    </w:rPr>
  </w:style>
  <w:style w:type="table" w:styleId="Tabellenraster">
    <w:name w:val="Table Grid"/>
    <w:basedOn w:val="NormaleTabelle"/>
    <w:rsid w:val="002D2AF8"/>
    <w:rPr>
      <w:rFonts w:ascii="Calibri" w:eastAsia="SimSun" w:hAnsi="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semiHidden/>
    <w:unhideWhenUsed/>
    <w:qFormat/>
    <w:rsid w:val="00372B40"/>
    <w:pPr>
      <w:spacing w:after="200"/>
    </w:pPr>
    <w:rPr>
      <w:i/>
      <w:iCs/>
      <w:color w:val="44546A" w:themeColor="text2"/>
      <w:sz w:val="18"/>
      <w:szCs w:val="18"/>
    </w:rPr>
  </w:style>
  <w:style w:type="character" w:styleId="Platzhaltertext">
    <w:name w:val="Placeholder Text"/>
    <w:basedOn w:val="Absatz-Standardschriftart"/>
    <w:uiPriority w:val="99"/>
    <w:semiHidden/>
    <w:rsid w:val="00C7770D"/>
    <w:rPr>
      <w:color w:val="808080"/>
    </w:rPr>
  </w:style>
  <w:style w:type="paragraph" w:customStyle="1" w:styleId="CitaviBibliographyEntry">
    <w:name w:val="Citavi Bibliography Entry"/>
    <w:basedOn w:val="Standard"/>
    <w:link w:val="CitaviBibliographyEntryZchn"/>
    <w:uiPriority w:val="99"/>
    <w:rsid w:val="00C7770D"/>
    <w:pPr>
      <w:tabs>
        <w:tab w:val="left" w:pos="454"/>
      </w:tabs>
      <w:ind w:left="454" w:hanging="454"/>
      <w:jc w:val="left"/>
    </w:pPr>
  </w:style>
  <w:style w:type="character" w:customStyle="1" w:styleId="CitaviBibliographyEntryZchn">
    <w:name w:val="Citavi Bibliography Entry Zchn"/>
    <w:basedOn w:val="Absatz-Standardschriftart"/>
    <w:link w:val="CitaviBibliographyEntry"/>
    <w:uiPriority w:val="99"/>
    <w:rsid w:val="00C7770D"/>
    <w:rPr>
      <w:rFonts w:ascii="Arial" w:hAnsi="Arial"/>
      <w:szCs w:val="24"/>
      <w:lang w:eastAsia="ko-KR"/>
    </w:rPr>
  </w:style>
  <w:style w:type="paragraph" w:customStyle="1" w:styleId="CitaviBibliographyHeading">
    <w:name w:val="Citavi Bibliography Heading"/>
    <w:basedOn w:val="berschrift1"/>
    <w:link w:val="CitaviBibliographyHeadingZchn"/>
    <w:uiPriority w:val="99"/>
    <w:rsid w:val="00C7770D"/>
    <w:pPr>
      <w:jc w:val="left"/>
    </w:pPr>
  </w:style>
  <w:style w:type="character" w:customStyle="1" w:styleId="CitaviBibliographyHeadingZchn">
    <w:name w:val="Citavi Bibliography Heading Zchn"/>
    <w:basedOn w:val="Absatz-Standardschriftart"/>
    <w:link w:val="CitaviBibliographyHeading"/>
    <w:uiPriority w:val="99"/>
    <w:rsid w:val="00C7770D"/>
    <w:rPr>
      <w:rFonts w:asciiTheme="majorHAnsi" w:eastAsiaTheme="majorEastAsia" w:hAnsiTheme="majorHAnsi" w:cstheme="majorBidi"/>
      <w:color w:val="2F5496" w:themeColor="accent1" w:themeShade="BF"/>
      <w:sz w:val="32"/>
      <w:szCs w:val="32"/>
      <w:lang w:eastAsia="ko-KR"/>
    </w:rPr>
  </w:style>
  <w:style w:type="character" w:customStyle="1" w:styleId="berschrift1Zchn">
    <w:name w:val="Überschrift 1 Zchn"/>
    <w:basedOn w:val="Absatz-Standardschriftart"/>
    <w:link w:val="berschrift1"/>
    <w:uiPriority w:val="9"/>
    <w:rsid w:val="00C7770D"/>
    <w:rPr>
      <w:rFonts w:asciiTheme="majorHAnsi" w:eastAsiaTheme="majorEastAsia" w:hAnsiTheme="majorHAnsi" w:cstheme="majorBidi"/>
      <w:color w:val="2F5496" w:themeColor="accent1" w:themeShade="BF"/>
      <w:sz w:val="32"/>
      <w:szCs w:val="32"/>
      <w:lang w:eastAsia="ko-KR"/>
    </w:rPr>
  </w:style>
  <w:style w:type="paragraph" w:customStyle="1" w:styleId="CitaviChapterBibliographyHeading">
    <w:name w:val="Citavi Chapter Bibliography Heading"/>
    <w:basedOn w:val="berschrift2"/>
    <w:link w:val="CitaviChapterBibliographyHeadingZchn"/>
    <w:uiPriority w:val="99"/>
    <w:rsid w:val="00C7770D"/>
    <w:pPr>
      <w:jc w:val="left"/>
    </w:pPr>
  </w:style>
  <w:style w:type="character" w:customStyle="1" w:styleId="CitaviChapterBibliographyHeadingZchn">
    <w:name w:val="Citavi Chapter Bibliography Heading Zchn"/>
    <w:basedOn w:val="Absatz-Standardschriftart"/>
    <w:link w:val="CitaviChapterBibliographyHeading"/>
    <w:uiPriority w:val="99"/>
    <w:rsid w:val="00C7770D"/>
    <w:rPr>
      <w:rFonts w:asciiTheme="majorHAnsi" w:eastAsiaTheme="majorEastAsia" w:hAnsiTheme="majorHAnsi" w:cstheme="majorBidi"/>
      <w:color w:val="2F5496" w:themeColor="accent1" w:themeShade="BF"/>
      <w:sz w:val="26"/>
      <w:szCs w:val="26"/>
      <w:lang w:eastAsia="ko-KR"/>
    </w:rPr>
  </w:style>
  <w:style w:type="character" w:customStyle="1" w:styleId="berschrift2Zchn">
    <w:name w:val="Überschrift 2 Zchn"/>
    <w:basedOn w:val="Absatz-Standardschriftart"/>
    <w:link w:val="berschrift2"/>
    <w:uiPriority w:val="9"/>
    <w:semiHidden/>
    <w:rsid w:val="00C7770D"/>
    <w:rPr>
      <w:rFonts w:asciiTheme="majorHAnsi" w:eastAsiaTheme="majorEastAsia" w:hAnsiTheme="majorHAnsi" w:cstheme="majorBidi"/>
      <w:color w:val="2F5496" w:themeColor="accent1" w:themeShade="BF"/>
      <w:sz w:val="26"/>
      <w:szCs w:val="26"/>
      <w:lang w:eastAsia="ko-KR"/>
    </w:rPr>
  </w:style>
  <w:style w:type="paragraph" w:customStyle="1" w:styleId="CitaviBibliographySubheading1">
    <w:name w:val="Citavi Bibliography Subheading 1"/>
    <w:basedOn w:val="berschrift2"/>
    <w:link w:val="CitaviBibliographySubheading1Zchn"/>
    <w:uiPriority w:val="99"/>
    <w:rsid w:val="00C7770D"/>
    <w:pPr>
      <w:outlineLvl w:val="9"/>
    </w:pPr>
  </w:style>
  <w:style w:type="character" w:customStyle="1" w:styleId="CitaviBibliographySubheading1Zchn">
    <w:name w:val="Citavi Bibliography Subheading 1 Zchn"/>
    <w:basedOn w:val="Absatz-Standardschriftart"/>
    <w:link w:val="CitaviBibliographySubheading1"/>
    <w:uiPriority w:val="99"/>
    <w:rsid w:val="00C7770D"/>
    <w:rPr>
      <w:rFonts w:asciiTheme="majorHAnsi" w:eastAsiaTheme="majorEastAsia" w:hAnsiTheme="majorHAnsi" w:cstheme="majorBidi"/>
      <w:color w:val="2F5496" w:themeColor="accent1" w:themeShade="BF"/>
      <w:sz w:val="26"/>
      <w:szCs w:val="26"/>
      <w:lang w:eastAsia="ko-KR"/>
    </w:rPr>
  </w:style>
  <w:style w:type="paragraph" w:customStyle="1" w:styleId="CitaviBibliographySubheading2">
    <w:name w:val="Citavi Bibliography Subheading 2"/>
    <w:basedOn w:val="berschrift3"/>
    <w:link w:val="CitaviBibliographySubheading2Zchn"/>
    <w:uiPriority w:val="99"/>
    <w:rsid w:val="00C7770D"/>
    <w:pPr>
      <w:outlineLvl w:val="9"/>
    </w:pPr>
  </w:style>
  <w:style w:type="character" w:customStyle="1" w:styleId="CitaviBibliographySubheading2Zchn">
    <w:name w:val="Citavi Bibliography Subheading 2 Zchn"/>
    <w:basedOn w:val="Absatz-Standardschriftart"/>
    <w:link w:val="CitaviBibliographySubheading2"/>
    <w:uiPriority w:val="99"/>
    <w:rsid w:val="00C7770D"/>
    <w:rPr>
      <w:rFonts w:asciiTheme="majorHAnsi" w:eastAsiaTheme="majorEastAsia" w:hAnsiTheme="majorHAnsi" w:cstheme="majorBidi"/>
      <w:color w:val="1F3763" w:themeColor="accent1" w:themeShade="7F"/>
      <w:sz w:val="24"/>
      <w:szCs w:val="24"/>
      <w:lang w:eastAsia="ko-KR"/>
    </w:rPr>
  </w:style>
  <w:style w:type="character" w:customStyle="1" w:styleId="berschrift3Zchn">
    <w:name w:val="Überschrift 3 Zchn"/>
    <w:basedOn w:val="Absatz-Standardschriftart"/>
    <w:link w:val="berschrift3"/>
    <w:uiPriority w:val="9"/>
    <w:semiHidden/>
    <w:rsid w:val="00C7770D"/>
    <w:rPr>
      <w:rFonts w:asciiTheme="majorHAnsi" w:eastAsiaTheme="majorEastAsia" w:hAnsiTheme="majorHAnsi" w:cstheme="majorBidi"/>
      <w:color w:val="1F3763" w:themeColor="accent1" w:themeShade="7F"/>
      <w:sz w:val="24"/>
      <w:szCs w:val="24"/>
      <w:lang w:eastAsia="ko-KR"/>
    </w:rPr>
  </w:style>
  <w:style w:type="paragraph" w:customStyle="1" w:styleId="CitaviBibliographySubheading3">
    <w:name w:val="Citavi Bibliography Subheading 3"/>
    <w:basedOn w:val="berschrift4"/>
    <w:link w:val="CitaviBibliographySubheading3Zchn"/>
    <w:uiPriority w:val="99"/>
    <w:rsid w:val="00C7770D"/>
    <w:pPr>
      <w:outlineLvl w:val="9"/>
    </w:pPr>
  </w:style>
  <w:style w:type="character" w:customStyle="1" w:styleId="CitaviBibliographySubheading3Zchn">
    <w:name w:val="Citavi Bibliography Subheading 3 Zchn"/>
    <w:basedOn w:val="Absatz-Standardschriftart"/>
    <w:link w:val="CitaviBibliographySubheading3"/>
    <w:uiPriority w:val="99"/>
    <w:rsid w:val="00C7770D"/>
    <w:rPr>
      <w:rFonts w:asciiTheme="majorHAnsi" w:eastAsiaTheme="majorEastAsia" w:hAnsiTheme="majorHAnsi" w:cstheme="majorBidi"/>
      <w:i/>
      <w:iCs/>
      <w:color w:val="2F5496" w:themeColor="accent1" w:themeShade="BF"/>
      <w:szCs w:val="24"/>
      <w:lang w:eastAsia="ko-KR"/>
    </w:rPr>
  </w:style>
  <w:style w:type="character" w:customStyle="1" w:styleId="berschrift4Zchn">
    <w:name w:val="Überschrift 4 Zchn"/>
    <w:basedOn w:val="Absatz-Standardschriftart"/>
    <w:link w:val="berschrift4"/>
    <w:uiPriority w:val="9"/>
    <w:semiHidden/>
    <w:rsid w:val="00C7770D"/>
    <w:rPr>
      <w:rFonts w:asciiTheme="majorHAnsi" w:eastAsiaTheme="majorEastAsia" w:hAnsiTheme="majorHAnsi" w:cstheme="majorBidi"/>
      <w:i/>
      <w:iCs/>
      <w:color w:val="2F5496" w:themeColor="accent1" w:themeShade="BF"/>
      <w:szCs w:val="24"/>
      <w:lang w:eastAsia="ko-KR"/>
    </w:rPr>
  </w:style>
  <w:style w:type="paragraph" w:customStyle="1" w:styleId="CitaviBibliographySubheading4">
    <w:name w:val="Citavi Bibliography Subheading 4"/>
    <w:basedOn w:val="berschrift5"/>
    <w:link w:val="CitaviBibliographySubheading4Zchn"/>
    <w:uiPriority w:val="99"/>
    <w:rsid w:val="00C7770D"/>
    <w:pPr>
      <w:outlineLvl w:val="9"/>
    </w:pPr>
  </w:style>
  <w:style w:type="character" w:customStyle="1" w:styleId="CitaviBibliographySubheading4Zchn">
    <w:name w:val="Citavi Bibliography Subheading 4 Zchn"/>
    <w:basedOn w:val="Absatz-Standardschriftart"/>
    <w:link w:val="CitaviBibliographySubheading4"/>
    <w:uiPriority w:val="99"/>
    <w:rsid w:val="00C7770D"/>
    <w:rPr>
      <w:rFonts w:asciiTheme="majorHAnsi" w:eastAsiaTheme="majorEastAsia" w:hAnsiTheme="majorHAnsi" w:cstheme="majorBidi"/>
      <w:color w:val="2F5496" w:themeColor="accent1" w:themeShade="BF"/>
      <w:szCs w:val="24"/>
      <w:lang w:eastAsia="ko-KR"/>
    </w:rPr>
  </w:style>
  <w:style w:type="character" w:customStyle="1" w:styleId="berschrift5Zchn">
    <w:name w:val="Überschrift 5 Zchn"/>
    <w:basedOn w:val="Absatz-Standardschriftart"/>
    <w:link w:val="berschrift5"/>
    <w:uiPriority w:val="9"/>
    <w:semiHidden/>
    <w:rsid w:val="00C7770D"/>
    <w:rPr>
      <w:rFonts w:asciiTheme="majorHAnsi" w:eastAsiaTheme="majorEastAsia" w:hAnsiTheme="majorHAnsi" w:cstheme="majorBidi"/>
      <w:color w:val="2F5496" w:themeColor="accent1" w:themeShade="BF"/>
      <w:szCs w:val="24"/>
      <w:lang w:eastAsia="ko-KR"/>
    </w:rPr>
  </w:style>
  <w:style w:type="paragraph" w:customStyle="1" w:styleId="CitaviBibliographySubheading5">
    <w:name w:val="Citavi Bibliography Subheading 5"/>
    <w:basedOn w:val="berschrift6"/>
    <w:link w:val="CitaviBibliographySubheading5Zchn"/>
    <w:uiPriority w:val="99"/>
    <w:rsid w:val="00C7770D"/>
    <w:pPr>
      <w:outlineLvl w:val="9"/>
    </w:pPr>
  </w:style>
  <w:style w:type="character" w:customStyle="1" w:styleId="CitaviBibliographySubheading5Zchn">
    <w:name w:val="Citavi Bibliography Subheading 5 Zchn"/>
    <w:basedOn w:val="Absatz-Standardschriftart"/>
    <w:link w:val="CitaviBibliographySubheading5"/>
    <w:uiPriority w:val="99"/>
    <w:rsid w:val="00C7770D"/>
    <w:rPr>
      <w:rFonts w:asciiTheme="majorHAnsi" w:eastAsiaTheme="majorEastAsia" w:hAnsiTheme="majorHAnsi" w:cstheme="majorBidi"/>
      <w:color w:val="1F3763" w:themeColor="accent1" w:themeShade="7F"/>
      <w:szCs w:val="24"/>
      <w:lang w:eastAsia="ko-KR"/>
    </w:rPr>
  </w:style>
  <w:style w:type="character" w:customStyle="1" w:styleId="berschrift6Zchn">
    <w:name w:val="Überschrift 6 Zchn"/>
    <w:basedOn w:val="Absatz-Standardschriftart"/>
    <w:link w:val="berschrift6"/>
    <w:uiPriority w:val="9"/>
    <w:semiHidden/>
    <w:rsid w:val="00C7770D"/>
    <w:rPr>
      <w:rFonts w:asciiTheme="majorHAnsi" w:eastAsiaTheme="majorEastAsia" w:hAnsiTheme="majorHAnsi" w:cstheme="majorBidi"/>
      <w:color w:val="1F3763" w:themeColor="accent1" w:themeShade="7F"/>
      <w:szCs w:val="24"/>
      <w:lang w:eastAsia="ko-KR"/>
    </w:rPr>
  </w:style>
  <w:style w:type="paragraph" w:customStyle="1" w:styleId="CitaviBibliographySubheading6">
    <w:name w:val="Citavi Bibliography Subheading 6"/>
    <w:basedOn w:val="berschrift7"/>
    <w:link w:val="CitaviBibliographySubheading6Zchn"/>
    <w:uiPriority w:val="99"/>
    <w:rsid w:val="00C7770D"/>
    <w:pPr>
      <w:outlineLvl w:val="9"/>
    </w:pPr>
  </w:style>
  <w:style w:type="character" w:customStyle="1" w:styleId="CitaviBibliographySubheading6Zchn">
    <w:name w:val="Citavi Bibliography Subheading 6 Zchn"/>
    <w:basedOn w:val="Absatz-Standardschriftart"/>
    <w:link w:val="CitaviBibliographySubheading6"/>
    <w:uiPriority w:val="99"/>
    <w:rsid w:val="00C7770D"/>
    <w:rPr>
      <w:rFonts w:asciiTheme="majorHAnsi" w:eastAsiaTheme="majorEastAsia" w:hAnsiTheme="majorHAnsi" w:cstheme="majorBidi"/>
      <w:i/>
      <w:iCs/>
      <w:color w:val="1F3763" w:themeColor="accent1" w:themeShade="7F"/>
      <w:szCs w:val="24"/>
      <w:lang w:eastAsia="ko-KR"/>
    </w:rPr>
  </w:style>
  <w:style w:type="character" w:customStyle="1" w:styleId="berschrift7Zchn">
    <w:name w:val="Überschrift 7 Zchn"/>
    <w:basedOn w:val="Absatz-Standardschriftart"/>
    <w:link w:val="berschrift7"/>
    <w:uiPriority w:val="9"/>
    <w:semiHidden/>
    <w:rsid w:val="00C7770D"/>
    <w:rPr>
      <w:rFonts w:asciiTheme="majorHAnsi" w:eastAsiaTheme="majorEastAsia" w:hAnsiTheme="majorHAnsi" w:cstheme="majorBidi"/>
      <w:i/>
      <w:iCs/>
      <w:color w:val="1F3763" w:themeColor="accent1" w:themeShade="7F"/>
      <w:szCs w:val="24"/>
      <w:lang w:eastAsia="ko-KR"/>
    </w:rPr>
  </w:style>
  <w:style w:type="paragraph" w:customStyle="1" w:styleId="CitaviBibliographySubheading7">
    <w:name w:val="Citavi Bibliography Subheading 7"/>
    <w:basedOn w:val="berschrift8"/>
    <w:link w:val="CitaviBibliographySubheading7Zchn"/>
    <w:uiPriority w:val="99"/>
    <w:rsid w:val="00C7770D"/>
    <w:pPr>
      <w:outlineLvl w:val="9"/>
    </w:pPr>
  </w:style>
  <w:style w:type="character" w:customStyle="1" w:styleId="CitaviBibliographySubheading7Zchn">
    <w:name w:val="Citavi Bibliography Subheading 7 Zchn"/>
    <w:basedOn w:val="Absatz-Standardschriftart"/>
    <w:link w:val="CitaviBibliographySubheading7"/>
    <w:uiPriority w:val="99"/>
    <w:rsid w:val="00C7770D"/>
    <w:rPr>
      <w:rFonts w:asciiTheme="majorHAnsi" w:eastAsiaTheme="majorEastAsia" w:hAnsiTheme="majorHAnsi" w:cstheme="majorBidi"/>
      <w:color w:val="272727" w:themeColor="text1" w:themeTint="D8"/>
      <w:sz w:val="21"/>
      <w:szCs w:val="21"/>
      <w:lang w:eastAsia="ko-KR"/>
    </w:rPr>
  </w:style>
  <w:style w:type="character" w:customStyle="1" w:styleId="berschrift8Zchn">
    <w:name w:val="Überschrift 8 Zchn"/>
    <w:basedOn w:val="Absatz-Standardschriftart"/>
    <w:link w:val="berschrift8"/>
    <w:uiPriority w:val="9"/>
    <w:semiHidden/>
    <w:rsid w:val="00C7770D"/>
    <w:rPr>
      <w:rFonts w:asciiTheme="majorHAnsi" w:eastAsiaTheme="majorEastAsia" w:hAnsiTheme="majorHAnsi" w:cstheme="majorBidi"/>
      <w:color w:val="272727" w:themeColor="text1" w:themeTint="D8"/>
      <w:sz w:val="21"/>
      <w:szCs w:val="21"/>
      <w:lang w:eastAsia="ko-KR"/>
    </w:rPr>
  </w:style>
  <w:style w:type="paragraph" w:customStyle="1" w:styleId="CitaviBibliographySubheading8">
    <w:name w:val="Citavi Bibliography Subheading 8"/>
    <w:basedOn w:val="berschrift9"/>
    <w:link w:val="CitaviBibliographySubheading8Zchn"/>
    <w:uiPriority w:val="99"/>
    <w:rsid w:val="00C7770D"/>
    <w:pPr>
      <w:outlineLvl w:val="9"/>
    </w:pPr>
  </w:style>
  <w:style w:type="character" w:customStyle="1" w:styleId="CitaviBibliographySubheading8Zchn">
    <w:name w:val="Citavi Bibliography Subheading 8 Zchn"/>
    <w:basedOn w:val="Absatz-Standardschriftart"/>
    <w:link w:val="CitaviBibliographySubheading8"/>
    <w:uiPriority w:val="99"/>
    <w:rsid w:val="00C7770D"/>
    <w:rPr>
      <w:rFonts w:asciiTheme="majorHAnsi" w:eastAsiaTheme="majorEastAsia" w:hAnsiTheme="majorHAnsi" w:cstheme="majorBidi"/>
      <w:i/>
      <w:iCs/>
      <w:color w:val="272727" w:themeColor="text1" w:themeTint="D8"/>
      <w:sz w:val="21"/>
      <w:szCs w:val="21"/>
      <w:lang w:eastAsia="ko-KR"/>
    </w:rPr>
  </w:style>
  <w:style w:type="character" w:customStyle="1" w:styleId="berschrift9Zchn">
    <w:name w:val="Überschrift 9 Zchn"/>
    <w:basedOn w:val="Absatz-Standardschriftart"/>
    <w:link w:val="berschrift9"/>
    <w:uiPriority w:val="9"/>
    <w:semiHidden/>
    <w:rsid w:val="00C7770D"/>
    <w:rPr>
      <w:rFonts w:asciiTheme="majorHAnsi" w:eastAsiaTheme="majorEastAsia" w:hAnsiTheme="majorHAnsi" w:cstheme="majorBidi"/>
      <w:i/>
      <w:iCs/>
      <w:color w:val="272727" w:themeColor="text1" w:themeTint="D8"/>
      <w:sz w:val="21"/>
      <w:szCs w:val="21"/>
      <w:lang w:eastAsia="ko-KR"/>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basedOn w:val="Absatz-Standardschriftart"/>
    <w:link w:val="Kommentartext"/>
    <w:uiPriority w:val="99"/>
    <w:semiHidden/>
    <w:rPr>
      <w:rFonts w:ascii="Arial" w:hAnsi="Arial"/>
      <w:lang w:eastAsia="ko-KR"/>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E813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1356"/>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us.Neuwirth@isi.fraunhofer.de"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b05502998d0a494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d77d12535c7344fa"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0D517D7-669D-461B-B34C-FC2D779B2042}"/>
      </w:docPartPr>
      <w:docPartBody>
        <w:p w:rsidR="00AD3F73" w:rsidRDefault="00624D85">
          <w:r w:rsidRPr="00CC6BD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5"/>
    <w:rsid w:val="00624D85"/>
    <w:rsid w:val="009C42A5"/>
    <w:rsid w:val="00AD3F73"/>
    <w:rsid w:val="00C726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4D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53CC-ABAD-4E02-A38F-9A9AC54C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5578</Words>
  <Characters>35147</Characters>
  <Application>Microsoft Office Word</Application>
  <DocSecurity>0</DocSecurity>
  <Lines>292</Lines>
  <Paragraphs>81</Paragraphs>
  <ScaleCrop>false</ScaleCrop>
  <Company>TU-Wien Campuslizenz</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Neuwirth, Marius</cp:lastModifiedBy>
  <cp:revision>3</cp:revision>
  <dcterms:created xsi:type="dcterms:W3CDTF">2022-11-22T17:26:00Z</dcterms:created>
  <dcterms:modified xsi:type="dcterms:W3CDTF">2022-11-22T17:36:00Z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5b69cb62-49dd-461f-bb82-bb4ec7726bab</vt:lpwstr>
  </property>
  <property fmtid="{D5CDD505-2E9C-101B-9397-08002B2CF9AE}" pid="3" name="CitaviDocumentProperty_6">
    <vt:lpwstr>True</vt:lpwstr>
  </property>
  <property fmtid="{D5CDD505-2E9C-101B-9397-08002B2CF9AE}" pid="4" name="CitaviDocumentProperty_8">
    <vt:lpwstr>C:\Users\NEM\ownCloud\Diss. Marius\02 Literatur\Citavi\H2-Paper\H2-Paper.ctv6</vt:lpwstr>
  </property>
  <property fmtid="{D5CDD505-2E9C-101B-9397-08002B2CF9AE}" pid="5" name="CitaviDocumentProperty_7">
    <vt:lpwstr>H2-Paper</vt:lpwstr>
  </property>
  <property fmtid="{D5CDD505-2E9C-101B-9397-08002B2CF9AE}" pid="6" name="CitaviDocumentProperty_1">
    <vt:lpwstr>6.14.0.0</vt:lpwstr>
  </property>
</Properties>
</file>