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1A21" w14:textId="695544AA" w:rsidR="005E4D4F" w:rsidRPr="008563D8" w:rsidRDefault="006F05D5" w:rsidP="005E4D4F">
      <w:pPr>
        <w:pStyle w:val="Abstract-Titel"/>
        <w:rPr>
          <w:lang w:val="en-GB"/>
        </w:rPr>
      </w:pPr>
      <w:r>
        <w:rPr>
          <w:lang w:val="en-GB"/>
        </w:rPr>
        <w:t>F</w:t>
      </w:r>
      <w:r w:rsidR="008563D8">
        <w:rPr>
          <w:lang w:val="en-GB"/>
        </w:rPr>
        <w:t xml:space="preserve">inancing instruments </w:t>
      </w:r>
      <w:r>
        <w:rPr>
          <w:lang w:val="en-GB"/>
        </w:rPr>
        <w:t xml:space="preserve">for </w:t>
      </w:r>
      <w:r w:rsidR="008563D8">
        <w:rPr>
          <w:lang w:val="en-GB"/>
        </w:rPr>
        <w:t>geothermal district heating and cooling</w:t>
      </w:r>
    </w:p>
    <w:p w14:paraId="47B52241" w14:textId="7BC89BE0" w:rsidR="00BF05FA" w:rsidRPr="006F05D5" w:rsidRDefault="008563D8" w:rsidP="00A156E4">
      <w:pPr>
        <w:pStyle w:val="AutorenOrganisation"/>
        <w:rPr>
          <w:lang w:val="en-GB"/>
        </w:rPr>
      </w:pPr>
      <w:r w:rsidRPr="006F05D5">
        <w:rPr>
          <w:lang w:val="en-GB"/>
        </w:rPr>
        <w:t>Energy/Climate Policy</w:t>
      </w:r>
    </w:p>
    <w:p w14:paraId="0AEFEF48" w14:textId="7223EB57" w:rsidR="005E4D4F" w:rsidRPr="006F05D5" w:rsidRDefault="008563D8" w:rsidP="00A156E4">
      <w:pPr>
        <w:pStyle w:val="AutorenOrganisation"/>
        <w:rPr>
          <w:lang w:val="en-GB"/>
        </w:rPr>
      </w:pPr>
      <w:r w:rsidRPr="006F05D5">
        <w:rPr>
          <w:lang w:val="en-GB"/>
        </w:rPr>
        <w:t>Giulia CONFORTO</w:t>
      </w:r>
      <w:r w:rsidR="005E4D4F" w:rsidRPr="00010E92">
        <w:rPr>
          <w:vertAlign w:val="superscript"/>
        </w:rPr>
        <w:footnoteReference w:id="1"/>
      </w:r>
      <w:r w:rsidR="00A156E4" w:rsidRPr="006F05D5">
        <w:rPr>
          <w:vertAlign w:val="superscript"/>
          <w:lang w:val="en-GB"/>
        </w:rPr>
        <w:t>(1)</w:t>
      </w:r>
      <w:r w:rsidR="005E4D4F" w:rsidRPr="006F05D5">
        <w:rPr>
          <w:lang w:val="en-GB"/>
        </w:rPr>
        <w:t xml:space="preserve">, </w:t>
      </w:r>
      <w:r w:rsidRPr="006F05D5">
        <w:rPr>
          <w:lang w:val="en-GB"/>
        </w:rPr>
        <w:t>Marcus HUMMEL</w:t>
      </w:r>
      <w:r w:rsidR="00A156E4" w:rsidRPr="006F05D5">
        <w:rPr>
          <w:vertAlign w:val="superscript"/>
          <w:lang w:val="en-GB"/>
        </w:rPr>
        <w:t>(</w:t>
      </w:r>
      <w:r w:rsidRPr="006F05D5">
        <w:rPr>
          <w:vertAlign w:val="superscript"/>
          <w:lang w:val="en-GB"/>
        </w:rPr>
        <w:t>1</w:t>
      </w:r>
      <w:r w:rsidR="00A156E4" w:rsidRPr="006F05D5">
        <w:rPr>
          <w:vertAlign w:val="superscript"/>
          <w:lang w:val="en-GB"/>
        </w:rPr>
        <w:t>)</w:t>
      </w:r>
    </w:p>
    <w:p w14:paraId="31BB6490" w14:textId="3EC662B6" w:rsidR="005E4D4F" w:rsidRPr="006F05D5" w:rsidRDefault="00A156E4" w:rsidP="005E4D4F">
      <w:pPr>
        <w:pStyle w:val="AutorenOrganisation"/>
        <w:rPr>
          <w:lang w:val="en-GB"/>
        </w:rPr>
      </w:pPr>
      <w:r w:rsidRPr="006F05D5">
        <w:rPr>
          <w:vertAlign w:val="superscript"/>
          <w:lang w:val="en-GB"/>
        </w:rPr>
        <w:t>(</w:t>
      </w:r>
      <w:r w:rsidR="00010E92" w:rsidRPr="006F05D5">
        <w:rPr>
          <w:vertAlign w:val="superscript"/>
          <w:lang w:val="en-GB"/>
        </w:rPr>
        <w:t>1</w:t>
      </w:r>
      <w:r w:rsidRPr="006F05D5">
        <w:rPr>
          <w:vertAlign w:val="superscript"/>
          <w:lang w:val="en-GB"/>
        </w:rPr>
        <w:t>)</w:t>
      </w:r>
      <w:r w:rsidR="008563D8" w:rsidRPr="006F05D5">
        <w:rPr>
          <w:lang w:val="en-GB"/>
        </w:rPr>
        <w:t>e-think energy research</w:t>
      </w:r>
      <w:r w:rsidR="00010E92" w:rsidRPr="006F05D5">
        <w:rPr>
          <w:lang w:val="en-GB"/>
        </w:rPr>
        <w:t>,</w:t>
      </w:r>
    </w:p>
    <w:p w14:paraId="7D0DC61F" w14:textId="77777777" w:rsidR="00A07737" w:rsidRPr="006F05D5" w:rsidRDefault="00A07737" w:rsidP="00FB69AE">
      <w:pPr>
        <w:rPr>
          <w:lang w:val="en-GB"/>
        </w:rPr>
      </w:pPr>
    </w:p>
    <w:p w14:paraId="14767CFD" w14:textId="79D28D8B" w:rsidR="005E4D4F" w:rsidRPr="005E4D4F" w:rsidRDefault="005E4D4F" w:rsidP="005E4D4F">
      <w:pPr>
        <w:pStyle w:val="Ueberschrift"/>
      </w:pPr>
      <w:r w:rsidRPr="005E4D4F">
        <w:t>Motivation und zentrale Fragestellung</w:t>
      </w:r>
      <w:r w:rsidR="006F05D5">
        <w:t xml:space="preserve"> [93/100 </w:t>
      </w:r>
      <w:proofErr w:type="spellStart"/>
      <w:r w:rsidR="006F05D5">
        <w:t>words</w:t>
      </w:r>
      <w:proofErr w:type="spellEnd"/>
      <w:r w:rsidR="006F05D5">
        <w:t>]</w:t>
      </w:r>
    </w:p>
    <w:p w14:paraId="041A4D9D" w14:textId="0EDCA47F" w:rsidR="005E4D4F" w:rsidRDefault="006F05D5" w:rsidP="006F05D5">
      <w:pPr>
        <w:rPr>
          <w:lang w:val="en-GB"/>
        </w:rPr>
      </w:pPr>
      <w:r>
        <w:rPr>
          <w:lang w:val="en-GB"/>
        </w:rPr>
        <w:t>The availability of geothermal energy across Europe makes it a strategic source for the decarbonization of the heating and cooling sector</w:t>
      </w:r>
      <w:r w:rsidR="00AC61DF">
        <w:rPr>
          <w:lang w:val="en-GB"/>
        </w:rPr>
        <w:t>, especially through district heating and cooling (DHC) networks</w:t>
      </w:r>
      <w:r>
        <w:rPr>
          <w:lang w:val="en-GB"/>
        </w:rPr>
        <w:t xml:space="preserve">. However, despite </w:t>
      </w:r>
      <w:r w:rsidRPr="006F05D5">
        <w:rPr>
          <w:lang w:val="en-GB"/>
        </w:rPr>
        <w:t>low</w:t>
      </w:r>
      <w:r>
        <w:rPr>
          <w:lang w:val="en-GB"/>
        </w:rPr>
        <w:t xml:space="preserve"> </w:t>
      </w:r>
      <w:r w:rsidRPr="006F05D5">
        <w:rPr>
          <w:lang w:val="en-GB"/>
        </w:rPr>
        <w:t>and predictable operating costs</w:t>
      </w:r>
      <w:r>
        <w:rPr>
          <w:lang w:val="en-GB"/>
        </w:rPr>
        <w:t>, g</w:t>
      </w:r>
      <w:r w:rsidRPr="006F05D5">
        <w:rPr>
          <w:lang w:val="en-GB"/>
        </w:rPr>
        <w:t xml:space="preserve">eothermal </w:t>
      </w:r>
      <w:r w:rsidR="00AC61DF">
        <w:rPr>
          <w:lang w:val="en-GB"/>
        </w:rPr>
        <w:t xml:space="preserve">remains a marginal resource, accounting for barely 2% of DHC. This is mostly </w:t>
      </w:r>
      <w:proofErr w:type="gramStart"/>
      <w:r w:rsidR="00AC61DF">
        <w:rPr>
          <w:lang w:val="en-GB"/>
        </w:rPr>
        <w:t>due to the fact that</w:t>
      </w:r>
      <w:proofErr w:type="gramEnd"/>
      <w:r w:rsidR="00AC61DF">
        <w:rPr>
          <w:lang w:val="en-GB"/>
        </w:rPr>
        <w:t xml:space="preserve"> geothermal </w:t>
      </w:r>
      <w:r w:rsidRPr="006F05D5">
        <w:rPr>
          <w:lang w:val="en-GB"/>
        </w:rPr>
        <w:t>projects are capital</w:t>
      </w:r>
      <w:r>
        <w:rPr>
          <w:lang w:val="en-GB"/>
        </w:rPr>
        <w:t>-</w:t>
      </w:r>
      <w:r w:rsidRPr="006F05D5">
        <w:rPr>
          <w:lang w:val="en-GB"/>
        </w:rPr>
        <w:t>intensive</w:t>
      </w:r>
      <w:r>
        <w:rPr>
          <w:lang w:val="en-GB"/>
        </w:rPr>
        <w:t xml:space="preserve"> </w:t>
      </w:r>
      <w:r w:rsidR="00AC61DF">
        <w:rPr>
          <w:lang w:val="en-GB"/>
        </w:rPr>
        <w:t xml:space="preserve">and bare higher risks </w:t>
      </w:r>
      <w:r>
        <w:rPr>
          <w:lang w:val="en-GB"/>
        </w:rPr>
        <w:t xml:space="preserve">in their exploratory and construction phase. </w:t>
      </w:r>
      <w:r w:rsidR="00AC61DF">
        <w:rPr>
          <w:lang w:val="en-GB"/>
        </w:rPr>
        <w:t xml:space="preserve">Therefore, </w:t>
      </w:r>
      <w:proofErr w:type="spellStart"/>
      <w:r w:rsidR="00AC61DF">
        <w:rPr>
          <w:lang w:val="en-GB"/>
        </w:rPr>
        <w:t>owering</w:t>
      </w:r>
      <w:proofErr w:type="spellEnd"/>
      <w:r w:rsidR="00AC61DF">
        <w:rPr>
          <w:lang w:val="en-GB"/>
        </w:rPr>
        <w:t xml:space="preserve"> the </w:t>
      </w:r>
      <w:r>
        <w:rPr>
          <w:lang w:val="en-GB"/>
        </w:rPr>
        <w:t>financing barrier</w:t>
      </w:r>
      <w:r w:rsidR="00AC61DF">
        <w:rPr>
          <w:lang w:val="en-GB"/>
        </w:rPr>
        <w:t xml:space="preserve"> could greatly support </w:t>
      </w:r>
      <w:r>
        <w:rPr>
          <w:lang w:val="en-GB"/>
        </w:rPr>
        <w:t>the market uptake of this technology. This work presents the preliminary results of a status quo review of financing instruments used in Europe to endow geothermal district heating and cooling projects. The study is carried out in the framework of the EU Horizon project SAPHEA.</w:t>
      </w:r>
    </w:p>
    <w:p w14:paraId="17A326D6" w14:textId="77777777" w:rsidR="006F05D5" w:rsidRPr="006F05D5" w:rsidRDefault="006F05D5" w:rsidP="006F05D5">
      <w:pPr>
        <w:rPr>
          <w:lang w:val="en-GB"/>
        </w:rPr>
      </w:pPr>
    </w:p>
    <w:p w14:paraId="00203371" w14:textId="1D8CCCF9" w:rsidR="005E4D4F" w:rsidRPr="006F05D5" w:rsidRDefault="005E4D4F" w:rsidP="005E4D4F">
      <w:pPr>
        <w:pStyle w:val="Ueberschrift"/>
        <w:rPr>
          <w:lang w:val="de-AT"/>
        </w:rPr>
      </w:pPr>
      <w:r w:rsidRPr="006F05D5">
        <w:rPr>
          <w:lang w:val="de-AT"/>
        </w:rPr>
        <w:t>Methodische Vorgangsweise</w:t>
      </w:r>
      <w:r w:rsidR="006F05D5" w:rsidRPr="006F05D5">
        <w:rPr>
          <w:lang w:val="de-AT"/>
        </w:rPr>
        <w:t xml:space="preserve"> </w:t>
      </w:r>
      <w:r w:rsidR="006F05D5">
        <w:t>[1</w:t>
      </w:r>
      <w:r w:rsidR="00CA0159">
        <w:t>70</w:t>
      </w:r>
      <w:r w:rsidR="006F05D5">
        <w:t xml:space="preserve">/ 200 </w:t>
      </w:r>
      <w:proofErr w:type="spellStart"/>
      <w:r w:rsidR="006F05D5">
        <w:t>words</w:t>
      </w:r>
      <w:proofErr w:type="spellEnd"/>
      <w:r w:rsidR="006F05D5">
        <w:t>]</w:t>
      </w:r>
    </w:p>
    <w:p w14:paraId="12ACA7B1" w14:textId="0AF61D99" w:rsidR="006F05D5" w:rsidRPr="00AC61DF" w:rsidRDefault="006F05D5" w:rsidP="00227125">
      <w:pPr>
        <w:rPr>
          <w:lang w:val="en-GB"/>
        </w:rPr>
      </w:pPr>
      <w:r w:rsidRPr="006F05D5">
        <w:rPr>
          <w:lang w:val="en-GB"/>
        </w:rPr>
        <w:t>The study starts with a</w:t>
      </w:r>
      <w:r>
        <w:rPr>
          <w:lang w:val="en-GB"/>
        </w:rPr>
        <w:t xml:space="preserve"> literature review of the financing instruments used to date in geothermal district heating and cooling projects. This phase includes published research papers, policy papers, market reports, and other documents such as European project deliverables and presentations. The outcome of the literature review is complemented by desk research of existing projects, possibly with expert interviews (</w:t>
      </w:r>
      <w:proofErr w:type="gramStart"/>
      <w:r>
        <w:rPr>
          <w:lang w:val="en-GB"/>
        </w:rPr>
        <w:t>e.g.</w:t>
      </w:r>
      <w:proofErr w:type="gramEnd"/>
      <w:r>
        <w:rPr>
          <w:lang w:val="en-GB"/>
        </w:rPr>
        <w:t xml:space="preserve"> with members of EGEC, the European Geothermal Energy Council).</w:t>
      </w:r>
      <w:r w:rsidR="0068520F">
        <w:rPr>
          <w:lang w:val="en-GB"/>
        </w:rPr>
        <w:t xml:space="preserve"> </w:t>
      </w:r>
      <w:r w:rsidR="0068520F">
        <w:rPr>
          <w:lang w:val="en-GB"/>
        </w:rPr>
        <w:t xml:space="preserve">Known financing instruments include </w:t>
      </w:r>
      <w:r w:rsidR="0068520F" w:rsidRPr="00AC61DF">
        <w:rPr>
          <w:lang w:val="en-GB"/>
        </w:rPr>
        <w:t>own funds, loan</w:t>
      </w:r>
      <w:r w:rsidR="0068520F">
        <w:rPr>
          <w:lang w:val="en-GB"/>
        </w:rPr>
        <w:t>s</w:t>
      </w:r>
      <w:r w:rsidR="0068520F" w:rsidRPr="00AC61DF">
        <w:rPr>
          <w:lang w:val="en-GB"/>
        </w:rPr>
        <w:t xml:space="preserve">, green bonds, </w:t>
      </w:r>
      <w:r w:rsidR="0068520F">
        <w:rPr>
          <w:lang w:val="en-GB"/>
        </w:rPr>
        <w:t>shared ownership, crowdfunding</w:t>
      </w:r>
      <w:r w:rsidR="0068520F">
        <w:rPr>
          <w:lang w:val="en-GB"/>
        </w:rPr>
        <w:t>.</w:t>
      </w:r>
    </w:p>
    <w:p w14:paraId="030B4B5E" w14:textId="77777777" w:rsidR="006F05D5" w:rsidRDefault="006F05D5" w:rsidP="00227125">
      <w:pPr>
        <w:rPr>
          <w:lang w:val="en-GB"/>
        </w:rPr>
      </w:pPr>
    </w:p>
    <w:p w14:paraId="6E621A63" w14:textId="49D109A3" w:rsidR="005E4D4F" w:rsidRPr="00AC61DF" w:rsidRDefault="006F05D5" w:rsidP="00227125">
      <w:pPr>
        <w:rPr>
          <w:lang w:val="en-GB"/>
        </w:rPr>
      </w:pPr>
      <w:r>
        <w:rPr>
          <w:lang w:val="en-GB"/>
        </w:rPr>
        <w:t>The peculiar risk curve of geothermal projects, with high risk in the planning, exploration and drilling phase, quickly dropping as the investment increases, makes the business model, and especially the risk ownership also plays a major role in the financing of geothermal projects. Th</w:t>
      </w:r>
      <w:r w:rsidR="00AC61DF">
        <w:rPr>
          <w:lang w:val="en-GB"/>
        </w:rPr>
        <w:t>us</w:t>
      </w:r>
      <w:r>
        <w:rPr>
          <w:lang w:val="en-GB"/>
        </w:rPr>
        <w:t xml:space="preserve">, </w:t>
      </w:r>
      <w:r w:rsidR="0068520F">
        <w:rPr>
          <w:lang w:val="en-GB"/>
        </w:rPr>
        <w:t xml:space="preserve">both the risk ownership, risk mitigation and business model are </w:t>
      </w:r>
      <w:r>
        <w:rPr>
          <w:lang w:val="en-GB"/>
        </w:rPr>
        <w:t>also</w:t>
      </w:r>
      <w:r w:rsidR="00AC61DF">
        <w:rPr>
          <w:lang w:val="en-GB"/>
        </w:rPr>
        <w:t xml:space="preserve"> determinant</w:t>
      </w:r>
      <w:r>
        <w:rPr>
          <w:lang w:val="en-GB"/>
        </w:rPr>
        <w:t>.</w:t>
      </w:r>
      <w:r w:rsidR="00AC61DF">
        <w:rPr>
          <w:lang w:val="en-GB"/>
        </w:rPr>
        <w:t xml:space="preserve"> </w:t>
      </w:r>
      <w:r w:rsidR="0068520F">
        <w:rPr>
          <w:lang w:val="en-GB"/>
        </w:rPr>
        <w:t>Known d</w:t>
      </w:r>
      <w:r w:rsidR="0068520F">
        <w:rPr>
          <w:lang w:val="en-GB"/>
        </w:rPr>
        <w:t xml:space="preserve">e-risking instruments </w:t>
      </w:r>
      <w:r w:rsidR="0068520F">
        <w:rPr>
          <w:lang w:val="en-GB"/>
        </w:rPr>
        <w:t>include</w:t>
      </w:r>
      <w:r w:rsidR="0068520F">
        <w:rPr>
          <w:lang w:val="en-GB"/>
        </w:rPr>
        <w:t xml:space="preserve"> </w:t>
      </w:r>
      <w:r w:rsidR="0068520F" w:rsidRPr="00AC61DF">
        <w:rPr>
          <w:lang w:val="en-GB"/>
        </w:rPr>
        <w:t>securit</w:t>
      </w:r>
      <w:r w:rsidR="0068520F">
        <w:rPr>
          <w:lang w:val="en-GB"/>
        </w:rPr>
        <w:t>ies</w:t>
      </w:r>
      <w:r w:rsidR="0068520F" w:rsidRPr="00AC61DF">
        <w:rPr>
          <w:lang w:val="en-GB"/>
        </w:rPr>
        <w:t>, guarantee</w:t>
      </w:r>
      <w:r w:rsidR="0068520F">
        <w:rPr>
          <w:lang w:val="en-GB"/>
        </w:rPr>
        <w:t>s</w:t>
      </w:r>
      <w:r w:rsidR="0068520F" w:rsidRPr="00AC61DF">
        <w:rPr>
          <w:lang w:val="en-GB"/>
        </w:rPr>
        <w:t xml:space="preserve">, </w:t>
      </w:r>
      <w:r w:rsidR="0068520F">
        <w:rPr>
          <w:lang w:val="en-GB"/>
        </w:rPr>
        <w:t xml:space="preserve">insurances, and </w:t>
      </w:r>
      <w:r w:rsidR="0068520F" w:rsidRPr="00AC61DF">
        <w:rPr>
          <w:lang w:val="en-GB"/>
        </w:rPr>
        <w:t>local municipal</w:t>
      </w:r>
      <w:r w:rsidR="0068520F">
        <w:rPr>
          <w:lang w:val="en-GB"/>
        </w:rPr>
        <w:t xml:space="preserve"> investments</w:t>
      </w:r>
      <w:r w:rsidR="0068520F" w:rsidRPr="00AC61DF">
        <w:rPr>
          <w:lang w:val="en-GB"/>
        </w:rPr>
        <w:t>.</w:t>
      </w:r>
      <w:r w:rsidR="0068520F">
        <w:rPr>
          <w:lang w:val="en-GB"/>
        </w:rPr>
        <w:t xml:space="preserve"> B</w:t>
      </w:r>
      <w:r w:rsidR="00AC61DF">
        <w:rPr>
          <w:lang w:val="en-GB"/>
        </w:rPr>
        <w:t xml:space="preserve">usiness models range from </w:t>
      </w:r>
      <w:r w:rsidR="00AC61DF" w:rsidRPr="00AC61DF">
        <w:rPr>
          <w:lang w:val="en-GB"/>
        </w:rPr>
        <w:t xml:space="preserve">completely public </w:t>
      </w:r>
      <w:r w:rsidR="00AC61DF">
        <w:rPr>
          <w:lang w:val="en-GB"/>
        </w:rPr>
        <w:t xml:space="preserve">to </w:t>
      </w:r>
      <w:r w:rsidR="00AC61DF" w:rsidRPr="00AC61DF">
        <w:rPr>
          <w:lang w:val="en-GB"/>
        </w:rPr>
        <w:t xml:space="preserve">completely private, </w:t>
      </w:r>
      <w:r w:rsidR="00AC61DF">
        <w:rPr>
          <w:lang w:val="en-GB"/>
        </w:rPr>
        <w:t xml:space="preserve">including </w:t>
      </w:r>
      <w:r w:rsidR="00AC61DF" w:rsidRPr="00AC61DF">
        <w:rPr>
          <w:lang w:val="en-GB"/>
        </w:rPr>
        <w:t xml:space="preserve">public-private (semi-ownership), </w:t>
      </w:r>
      <w:r w:rsidR="00AC61DF">
        <w:rPr>
          <w:lang w:val="en-GB"/>
        </w:rPr>
        <w:t xml:space="preserve">and more innovative formats such as </w:t>
      </w:r>
      <w:r w:rsidR="00AC61DF" w:rsidRPr="00AC61DF">
        <w:rPr>
          <w:lang w:val="en-GB"/>
        </w:rPr>
        <w:t xml:space="preserve">heat purchase contracting, bottom-up heat purchase contracting, energy community, </w:t>
      </w:r>
      <w:r w:rsidR="00AC61DF">
        <w:rPr>
          <w:lang w:val="en-GB"/>
        </w:rPr>
        <w:t xml:space="preserve">and </w:t>
      </w:r>
      <w:r w:rsidR="00AC61DF" w:rsidRPr="00AC61DF">
        <w:rPr>
          <w:lang w:val="en-GB"/>
        </w:rPr>
        <w:t xml:space="preserve">distribution system </w:t>
      </w:r>
      <w:proofErr w:type="spellStart"/>
      <w:r w:rsidR="00AC61DF" w:rsidRPr="00AC61DF">
        <w:rPr>
          <w:lang w:val="en-GB"/>
        </w:rPr>
        <w:t>oprator</w:t>
      </w:r>
      <w:proofErr w:type="spellEnd"/>
      <w:r w:rsidR="00AC61DF">
        <w:rPr>
          <w:lang w:val="en-GB"/>
        </w:rPr>
        <w:t>.</w:t>
      </w:r>
    </w:p>
    <w:p w14:paraId="458AA229" w14:textId="77777777" w:rsidR="006F05D5" w:rsidRPr="006F05D5" w:rsidRDefault="006F05D5" w:rsidP="00227125">
      <w:pPr>
        <w:rPr>
          <w:lang w:val="en-GB"/>
        </w:rPr>
      </w:pPr>
    </w:p>
    <w:p w14:paraId="3943C269" w14:textId="17ED4A85" w:rsidR="006F05D5" w:rsidRPr="006F05D5" w:rsidRDefault="006F05D5" w:rsidP="00227125">
      <w:pPr>
        <w:rPr>
          <w:lang w:val="en-GB"/>
        </w:rPr>
      </w:pPr>
      <w:r>
        <w:rPr>
          <w:lang w:val="en-GB"/>
        </w:rPr>
        <w:t xml:space="preserve">This study is carried out in the framework of the EU Horizon project SAPHEA - </w:t>
      </w:r>
      <w:r w:rsidRPr="006F05D5">
        <w:rPr>
          <w:lang w:val="en-GB"/>
        </w:rPr>
        <w:t>Developing a single access point for the market uptake of geothermal energy use in multivalent heating and cooling networks across Europe</w:t>
      </w:r>
      <w:r>
        <w:rPr>
          <w:lang w:val="en-GB"/>
        </w:rPr>
        <w:t>.</w:t>
      </w:r>
    </w:p>
    <w:p w14:paraId="449B4BD7" w14:textId="77777777" w:rsidR="005E4D4F" w:rsidRPr="006F05D5" w:rsidRDefault="005E4D4F" w:rsidP="00227125">
      <w:pPr>
        <w:rPr>
          <w:lang w:val="en-GB"/>
        </w:rPr>
      </w:pPr>
    </w:p>
    <w:p w14:paraId="14B95358" w14:textId="77777777" w:rsidR="005E4D4F" w:rsidRPr="005E4D4F" w:rsidRDefault="005E4D4F" w:rsidP="005E4D4F">
      <w:pPr>
        <w:pStyle w:val="Ueberschrift"/>
      </w:pPr>
      <w:r w:rsidRPr="005E4D4F">
        <w:t>Ergebnisse und Schlussfolgerungen</w:t>
      </w:r>
    </w:p>
    <w:p w14:paraId="27A1FA20" w14:textId="0EF7360D" w:rsidR="002946B8" w:rsidRDefault="006F05D5" w:rsidP="00227125">
      <w:pPr>
        <w:rPr>
          <w:lang w:val="en-GB"/>
        </w:rPr>
      </w:pPr>
      <w:r w:rsidRPr="006F05D5">
        <w:rPr>
          <w:lang w:val="en-GB"/>
        </w:rPr>
        <w:t xml:space="preserve">The expected </w:t>
      </w:r>
      <w:r>
        <w:rPr>
          <w:lang w:val="en-GB"/>
        </w:rPr>
        <w:t xml:space="preserve">preliminary </w:t>
      </w:r>
      <w:r w:rsidRPr="006F05D5">
        <w:rPr>
          <w:lang w:val="en-GB"/>
        </w:rPr>
        <w:t>results of t</w:t>
      </w:r>
      <w:r>
        <w:rPr>
          <w:lang w:val="en-GB"/>
        </w:rPr>
        <w:t>his study will include an EU-wide overview of financial instruments and funding options for geothermal district heating and cooling projects, with a short description of each option and a few examples of projects where that option was successfully used. Also</w:t>
      </w:r>
      <w:r w:rsidR="00CA0159">
        <w:rPr>
          <w:lang w:val="en-GB"/>
        </w:rPr>
        <w:t>,</w:t>
      </w:r>
      <w:r>
        <w:rPr>
          <w:lang w:val="en-GB"/>
        </w:rPr>
        <w:t xml:space="preserve"> a brief review of the main business models adopted in different regions </w:t>
      </w:r>
      <w:r w:rsidR="00CA0159">
        <w:rPr>
          <w:lang w:val="en-GB"/>
        </w:rPr>
        <w:t>f</w:t>
      </w:r>
      <w:r>
        <w:rPr>
          <w:lang w:val="en-GB"/>
        </w:rPr>
        <w:t xml:space="preserve">or geothermal district heating and cooling projects will be provided. The results shown in this presentation will set an intermediate step in the study, which aims, in its </w:t>
      </w:r>
      <w:proofErr w:type="gramStart"/>
      <w:r>
        <w:rPr>
          <w:lang w:val="en-GB"/>
        </w:rPr>
        <w:t>final results</w:t>
      </w:r>
      <w:proofErr w:type="gramEnd"/>
      <w:r>
        <w:rPr>
          <w:lang w:val="en-GB"/>
        </w:rPr>
        <w:t xml:space="preserve">, at providing a European complete mapping, detailed </w:t>
      </w:r>
      <w:r w:rsidR="00CA0159">
        <w:rPr>
          <w:lang w:val="en-GB"/>
        </w:rPr>
        <w:t>in</w:t>
      </w:r>
      <w:r>
        <w:rPr>
          <w:lang w:val="en-GB"/>
        </w:rPr>
        <w:t xml:space="preserve"> two reports, respectively on business models and financing options.</w:t>
      </w:r>
    </w:p>
    <w:p w14:paraId="7E19FB93" w14:textId="77777777" w:rsidR="0068520F" w:rsidRPr="006F05D5" w:rsidRDefault="0068520F" w:rsidP="00227125">
      <w:pPr>
        <w:rPr>
          <w:lang w:val="en-GB"/>
        </w:rPr>
      </w:pPr>
    </w:p>
    <w:p w14:paraId="0C0574B2" w14:textId="77777777" w:rsidR="005E4D4F" w:rsidRPr="006F05D5" w:rsidRDefault="005E4D4F" w:rsidP="0068520F">
      <w:pPr>
        <w:pStyle w:val="Ueberschrift"/>
        <w:keepNext/>
        <w:rPr>
          <w:lang w:val="en-GB"/>
        </w:rPr>
      </w:pPr>
      <w:bookmarkStart w:id="0" w:name="_Toc26086066"/>
      <w:bookmarkStart w:id="1" w:name="_Toc68418491"/>
      <w:proofErr w:type="spellStart"/>
      <w:r w:rsidRPr="006F05D5">
        <w:rPr>
          <w:lang w:val="en-GB"/>
        </w:rPr>
        <w:lastRenderedPageBreak/>
        <w:t>Literatur</w:t>
      </w:r>
      <w:bookmarkEnd w:id="0"/>
      <w:bookmarkEnd w:id="1"/>
      <w:proofErr w:type="spellEnd"/>
    </w:p>
    <w:p w14:paraId="3E00F40F" w14:textId="7990D7E1" w:rsidR="006F05D5" w:rsidRPr="006F05D5" w:rsidRDefault="006F05D5" w:rsidP="006F05D5">
      <w:pPr>
        <w:pStyle w:val="Literatur"/>
        <w:numPr>
          <w:ilvl w:val="0"/>
          <w:numId w:val="5"/>
        </w:numPr>
        <w:ind w:left="426" w:hanging="426"/>
        <w:rPr>
          <w:lang w:val="en-GB"/>
        </w:rPr>
      </w:pPr>
      <w:r w:rsidRPr="006F05D5">
        <w:rPr>
          <w:lang w:val="en-GB"/>
        </w:rPr>
        <w:t xml:space="preserve">Bengtsson, J. &amp; </w:t>
      </w:r>
      <w:proofErr w:type="spellStart"/>
      <w:r w:rsidRPr="006F05D5">
        <w:rPr>
          <w:lang w:val="en-GB"/>
        </w:rPr>
        <w:t>Hasselager</w:t>
      </w:r>
      <w:proofErr w:type="spellEnd"/>
      <w:r w:rsidRPr="006F05D5">
        <w:rPr>
          <w:lang w:val="en-GB"/>
        </w:rPr>
        <w:t xml:space="preserve">, A. (2020) </w:t>
      </w:r>
      <w:r w:rsidRPr="006F05D5">
        <w:rPr>
          <w:i/>
          <w:iCs/>
          <w:lang w:val="en-GB"/>
        </w:rPr>
        <w:t>Study on business models and innovative funding structures for low</w:t>
      </w:r>
      <w:r w:rsidR="00CA0159">
        <w:rPr>
          <w:i/>
          <w:iCs/>
          <w:lang w:val="en-GB"/>
        </w:rPr>
        <w:t>-</w:t>
      </w:r>
      <w:r w:rsidRPr="006F05D5">
        <w:rPr>
          <w:i/>
          <w:iCs/>
          <w:lang w:val="en-GB"/>
        </w:rPr>
        <w:t>temperature district heating</w:t>
      </w:r>
      <w:r w:rsidRPr="006F05D5">
        <w:rPr>
          <w:lang w:val="en-GB"/>
        </w:rPr>
        <w:t xml:space="preserve">. [online]. Available from: </w:t>
      </w:r>
      <w:hyperlink r:id="rId7" w:history="1">
        <w:r w:rsidRPr="006F05D5">
          <w:rPr>
            <w:rStyle w:val="Hyperlink"/>
            <w:lang w:val="en-GB"/>
          </w:rPr>
          <w:t>https://www.lowtemp.eu/wp-content/uploads/2020/09/LowTEMP_Financing_Schemes_and_Business_Models_StudyBusinessModelsAndInnovativeFundingStructures.pdf</w:t>
        </w:r>
      </w:hyperlink>
      <w:r w:rsidRPr="006F05D5">
        <w:rPr>
          <w:lang w:val="en-GB"/>
        </w:rPr>
        <w:t xml:space="preserve"> (Accessed 16 November 2022).</w:t>
      </w:r>
    </w:p>
    <w:p w14:paraId="459FC934" w14:textId="77777777" w:rsidR="006F05D5" w:rsidRPr="006F05D5" w:rsidRDefault="006F05D5" w:rsidP="006F05D5">
      <w:pPr>
        <w:pStyle w:val="Literatur"/>
        <w:numPr>
          <w:ilvl w:val="0"/>
          <w:numId w:val="5"/>
        </w:numPr>
        <w:ind w:left="426" w:hanging="426"/>
        <w:rPr>
          <w:lang w:val="en-GB"/>
        </w:rPr>
      </w:pPr>
      <w:r w:rsidRPr="006F05D5">
        <w:rPr>
          <w:lang w:val="en-GB"/>
        </w:rPr>
        <w:t xml:space="preserve">EGEC (2014) </w:t>
      </w:r>
      <w:r w:rsidRPr="006F05D5">
        <w:rPr>
          <w:i/>
          <w:iCs/>
          <w:lang w:val="en-GB"/>
        </w:rPr>
        <w:t>Financing Geothermal District Heating</w:t>
      </w:r>
      <w:r w:rsidRPr="006F05D5">
        <w:rPr>
          <w:lang w:val="en-GB"/>
        </w:rPr>
        <w:t xml:space="preserve">. [online]. Available from: </w:t>
      </w:r>
      <w:hyperlink r:id="rId8" w:history="1">
        <w:r w:rsidRPr="006F05D5">
          <w:rPr>
            <w:rStyle w:val="Hyperlink"/>
            <w:lang w:val="en-GB"/>
          </w:rPr>
          <w:t>http://geodh.eu/wp-content/uploads/2012/07/GeoDH-Factsheet_Model-For-Bank_EGEC-v2.pdf</w:t>
        </w:r>
      </w:hyperlink>
      <w:r w:rsidRPr="006F05D5">
        <w:rPr>
          <w:lang w:val="en-GB"/>
        </w:rPr>
        <w:t xml:space="preserve"> (Accessed 16 November 2022).</w:t>
      </w:r>
    </w:p>
    <w:p w14:paraId="1DF69CFF" w14:textId="77777777" w:rsidR="006F05D5" w:rsidRPr="006F05D5" w:rsidRDefault="006F05D5" w:rsidP="006F05D5">
      <w:pPr>
        <w:pStyle w:val="Literatur"/>
        <w:numPr>
          <w:ilvl w:val="0"/>
          <w:numId w:val="5"/>
        </w:numPr>
        <w:ind w:left="426" w:hanging="426"/>
        <w:rPr>
          <w:lang w:val="en-GB"/>
        </w:rPr>
      </w:pPr>
      <w:r w:rsidRPr="006F05D5">
        <w:rPr>
          <w:lang w:val="en-GB"/>
        </w:rPr>
        <w:t xml:space="preserve">ENTRAIN &amp; </w:t>
      </w:r>
      <w:proofErr w:type="spellStart"/>
      <w:r w:rsidRPr="006F05D5">
        <w:rPr>
          <w:lang w:val="en-GB"/>
        </w:rPr>
        <w:t>StT</w:t>
      </w:r>
      <w:proofErr w:type="spellEnd"/>
      <w:r w:rsidRPr="006F05D5">
        <w:rPr>
          <w:lang w:val="en-GB"/>
        </w:rPr>
        <w:t xml:space="preserve"> </w:t>
      </w:r>
      <w:proofErr w:type="spellStart"/>
      <w:r w:rsidRPr="006F05D5">
        <w:rPr>
          <w:lang w:val="en-GB"/>
        </w:rPr>
        <w:t>Solites</w:t>
      </w:r>
      <w:proofErr w:type="spellEnd"/>
      <w:r w:rsidRPr="006F05D5">
        <w:rPr>
          <w:lang w:val="en-GB"/>
        </w:rPr>
        <w:t xml:space="preserve"> (2021) </w:t>
      </w:r>
      <w:r w:rsidRPr="006F05D5">
        <w:rPr>
          <w:i/>
          <w:iCs/>
          <w:lang w:val="en-GB"/>
        </w:rPr>
        <w:t>Design and implementation of new local financing and support schemes for renewable district heating</w:t>
      </w:r>
      <w:r w:rsidRPr="006F05D5">
        <w:rPr>
          <w:lang w:val="en-GB"/>
        </w:rPr>
        <w:t xml:space="preserve">. [online]. Available from: </w:t>
      </w:r>
      <w:hyperlink r:id="rId9" w:history="1">
        <w:r w:rsidRPr="006F05D5">
          <w:rPr>
            <w:rStyle w:val="Hyperlink"/>
            <w:lang w:val="en-GB"/>
          </w:rPr>
          <w:t>https://www.interreg-central.eu/Content.Node/ENTRAIN/D.T3.4.2-Summary-report-financing-tools-EN.pdf</w:t>
        </w:r>
      </w:hyperlink>
      <w:r w:rsidRPr="006F05D5">
        <w:rPr>
          <w:lang w:val="en-GB"/>
        </w:rPr>
        <w:t xml:space="preserve"> (Accessed 16 November 2022).</w:t>
      </w:r>
    </w:p>
    <w:p w14:paraId="190C61C9" w14:textId="77777777" w:rsidR="006F05D5" w:rsidRPr="006F05D5" w:rsidRDefault="006F05D5" w:rsidP="006F05D5">
      <w:pPr>
        <w:pStyle w:val="Literatur"/>
        <w:numPr>
          <w:ilvl w:val="0"/>
          <w:numId w:val="5"/>
        </w:numPr>
        <w:ind w:left="426" w:hanging="426"/>
        <w:rPr>
          <w:lang w:val="en-GB"/>
        </w:rPr>
      </w:pPr>
      <w:r w:rsidRPr="006F05D5">
        <w:rPr>
          <w:lang w:val="en-GB"/>
        </w:rPr>
        <w:t xml:space="preserve">EU Commission (2016b) </w:t>
      </w:r>
      <w:r w:rsidRPr="006F05D5">
        <w:rPr>
          <w:i/>
          <w:iCs/>
          <w:lang w:val="en-GB"/>
        </w:rPr>
        <w:t>Mapping and analyses of the current and future (2020 - 2030) heating/cooling fuel deployment (fossil/renewables)</w:t>
      </w:r>
      <w:r w:rsidRPr="006F05D5">
        <w:rPr>
          <w:lang w:val="en-GB"/>
        </w:rPr>
        <w:t xml:space="preserve">. [online]. Available from: </w:t>
      </w:r>
      <w:hyperlink r:id="rId10" w:history="1">
        <w:r w:rsidRPr="006F05D5">
          <w:rPr>
            <w:rStyle w:val="Hyperlink"/>
            <w:lang w:val="en-GB"/>
          </w:rPr>
          <w:t>https://ec.europa.eu/energy/sites/ener/files/documents/mapping-hc-final_report_wp1.pdf</w:t>
        </w:r>
      </w:hyperlink>
      <w:r w:rsidRPr="006F05D5">
        <w:rPr>
          <w:lang w:val="en-GB"/>
        </w:rPr>
        <w:t>.</w:t>
      </w:r>
    </w:p>
    <w:p w14:paraId="038DFD09" w14:textId="77777777" w:rsidR="006F05D5" w:rsidRPr="006F05D5" w:rsidRDefault="006F05D5" w:rsidP="006F05D5">
      <w:pPr>
        <w:pStyle w:val="Literatur"/>
        <w:numPr>
          <w:ilvl w:val="0"/>
          <w:numId w:val="5"/>
        </w:numPr>
        <w:ind w:left="426" w:hanging="426"/>
        <w:rPr>
          <w:lang w:val="en-GB"/>
        </w:rPr>
      </w:pPr>
      <w:proofErr w:type="spellStart"/>
      <w:r w:rsidRPr="006F05D5">
        <w:rPr>
          <w:lang w:val="en-GB"/>
        </w:rPr>
        <w:t>GeoDH</w:t>
      </w:r>
      <w:proofErr w:type="spellEnd"/>
      <w:r w:rsidRPr="006F05D5">
        <w:rPr>
          <w:lang w:val="en-GB"/>
        </w:rPr>
        <w:t xml:space="preserve"> (2014a) </w:t>
      </w:r>
      <w:r w:rsidRPr="006F05D5">
        <w:rPr>
          <w:i/>
          <w:iCs/>
          <w:lang w:val="en-GB"/>
        </w:rPr>
        <w:t>Fact-Sheet Geothermal District Heating Market Development</w:t>
      </w:r>
      <w:r w:rsidRPr="006F05D5">
        <w:rPr>
          <w:lang w:val="en-GB"/>
        </w:rPr>
        <w:t xml:space="preserve">. [online]. Available from: </w:t>
      </w:r>
      <w:hyperlink r:id="rId11" w:history="1">
        <w:r w:rsidRPr="006F05D5">
          <w:rPr>
            <w:rStyle w:val="Hyperlink"/>
            <w:lang w:val="en-GB"/>
          </w:rPr>
          <w:t>http://geodh.eu/wp-content/uploads/2014/12/Fact-Sheet-Market-Development-v.3-November-2014.pdf</w:t>
        </w:r>
      </w:hyperlink>
      <w:r w:rsidRPr="006F05D5">
        <w:rPr>
          <w:lang w:val="en-GB"/>
        </w:rPr>
        <w:t xml:space="preserve"> (Accessed 16 November 2022).</w:t>
      </w:r>
    </w:p>
    <w:p w14:paraId="7930F13F" w14:textId="77777777" w:rsidR="006F05D5" w:rsidRPr="006F05D5" w:rsidRDefault="006F05D5" w:rsidP="006F05D5">
      <w:pPr>
        <w:pStyle w:val="Literatur"/>
        <w:numPr>
          <w:ilvl w:val="0"/>
          <w:numId w:val="5"/>
        </w:numPr>
        <w:ind w:left="426" w:hanging="426"/>
        <w:rPr>
          <w:lang w:val="en-GB"/>
        </w:rPr>
      </w:pPr>
      <w:proofErr w:type="spellStart"/>
      <w:r w:rsidRPr="006F05D5">
        <w:rPr>
          <w:lang w:val="en-GB"/>
        </w:rPr>
        <w:t>GeoDH</w:t>
      </w:r>
      <w:proofErr w:type="spellEnd"/>
      <w:r w:rsidRPr="006F05D5">
        <w:rPr>
          <w:lang w:val="en-GB"/>
        </w:rPr>
        <w:t xml:space="preserve"> (2014b) </w:t>
      </w:r>
      <w:r w:rsidRPr="006F05D5">
        <w:rPr>
          <w:i/>
          <w:iCs/>
          <w:lang w:val="en-GB"/>
        </w:rPr>
        <w:t>Models for banks and financial institutions</w:t>
      </w:r>
      <w:r w:rsidRPr="006F05D5">
        <w:rPr>
          <w:lang w:val="en-GB"/>
        </w:rPr>
        <w:t xml:space="preserve">. [online]. Available from: </w:t>
      </w:r>
      <w:hyperlink r:id="rId12" w:history="1">
        <w:r w:rsidRPr="006F05D5">
          <w:rPr>
            <w:rStyle w:val="Hyperlink"/>
            <w:lang w:val="en-GB"/>
          </w:rPr>
          <w:t>http://geodh.eu/wp-content/uploads/2012/07/4.4-Models-for-banks-and-financial-institutions1.pdf</w:t>
        </w:r>
      </w:hyperlink>
      <w:r w:rsidRPr="006F05D5">
        <w:rPr>
          <w:lang w:val="en-GB"/>
        </w:rPr>
        <w:t xml:space="preserve"> (Accessed 16 November 2022).</w:t>
      </w:r>
    </w:p>
    <w:p w14:paraId="65A3F9D1" w14:textId="5D256172" w:rsidR="006F05D5" w:rsidRPr="006F05D5" w:rsidRDefault="006F05D5" w:rsidP="006F05D5">
      <w:pPr>
        <w:pStyle w:val="Literatur"/>
        <w:numPr>
          <w:ilvl w:val="0"/>
          <w:numId w:val="5"/>
        </w:numPr>
        <w:ind w:left="426" w:hanging="426"/>
        <w:rPr>
          <w:lang w:val="en-GB"/>
        </w:rPr>
      </w:pPr>
      <w:proofErr w:type="spellStart"/>
      <w:r w:rsidRPr="006F05D5">
        <w:rPr>
          <w:lang w:val="en-GB"/>
        </w:rPr>
        <w:t>GeoDH</w:t>
      </w:r>
      <w:proofErr w:type="spellEnd"/>
      <w:r w:rsidRPr="006F05D5">
        <w:rPr>
          <w:lang w:val="en-GB"/>
        </w:rPr>
        <w:t xml:space="preserve"> et al. (2014) </w:t>
      </w:r>
      <w:r w:rsidRPr="006F05D5">
        <w:rPr>
          <w:i/>
          <w:iCs/>
          <w:lang w:val="en-GB"/>
        </w:rPr>
        <w:t>Report on support</w:t>
      </w:r>
      <w:r>
        <w:rPr>
          <w:i/>
          <w:iCs/>
          <w:lang w:val="en-GB"/>
        </w:rPr>
        <w:t xml:space="preserve"> </w:t>
      </w:r>
      <w:r w:rsidRPr="006F05D5">
        <w:rPr>
          <w:i/>
          <w:iCs/>
          <w:lang w:val="en-GB"/>
        </w:rPr>
        <w:t>schemes</w:t>
      </w:r>
      <w:r>
        <w:rPr>
          <w:i/>
          <w:iCs/>
          <w:lang w:val="en-GB"/>
        </w:rPr>
        <w:t xml:space="preserve"> </w:t>
      </w:r>
      <w:r w:rsidRPr="006F05D5">
        <w:rPr>
          <w:i/>
          <w:iCs/>
          <w:lang w:val="en-GB"/>
        </w:rPr>
        <w:t>for</w:t>
      </w:r>
      <w:r>
        <w:rPr>
          <w:i/>
          <w:iCs/>
          <w:lang w:val="en-GB"/>
        </w:rPr>
        <w:t xml:space="preserve"> </w:t>
      </w:r>
      <w:proofErr w:type="spellStart"/>
      <w:r w:rsidRPr="006F05D5">
        <w:rPr>
          <w:i/>
          <w:iCs/>
          <w:lang w:val="en-GB"/>
        </w:rPr>
        <w:t>GeoDH</w:t>
      </w:r>
      <w:proofErr w:type="spellEnd"/>
      <w:r w:rsidRPr="006F05D5">
        <w:rPr>
          <w:lang w:val="en-GB"/>
        </w:rPr>
        <w:t xml:space="preserve"> [online]. Available from: </w:t>
      </w:r>
      <w:hyperlink r:id="rId13" w:history="1">
        <w:r w:rsidRPr="006F05D5">
          <w:rPr>
            <w:rStyle w:val="Hyperlink"/>
            <w:lang w:val="en-GB"/>
          </w:rPr>
          <w:t>http://geodh.eu/wp-content/uploads/2014/11/4-1-Report-on-support-schemes-for-GeoDH.pdf</w:t>
        </w:r>
      </w:hyperlink>
      <w:r w:rsidRPr="006F05D5">
        <w:rPr>
          <w:lang w:val="en-GB"/>
        </w:rPr>
        <w:t xml:space="preserve"> (Accessed 16 November 2022).</w:t>
      </w:r>
    </w:p>
    <w:p w14:paraId="5EB3B18C" w14:textId="77777777" w:rsidR="006F05D5" w:rsidRPr="006F05D5" w:rsidRDefault="006F05D5" w:rsidP="006F05D5">
      <w:pPr>
        <w:pStyle w:val="Literatur"/>
        <w:numPr>
          <w:ilvl w:val="0"/>
          <w:numId w:val="5"/>
        </w:numPr>
        <w:ind w:left="426" w:hanging="426"/>
        <w:rPr>
          <w:lang w:val="en-GB"/>
        </w:rPr>
      </w:pPr>
      <w:r w:rsidRPr="006F05D5">
        <w:rPr>
          <w:lang w:val="en-GB"/>
        </w:rPr>
        <w:t xml:space="preserve">Hofmeister, M. &amp; Holm, A. B. (2014) </w:t>
      </w:r>
      <w:r w:rsidRPr="006F05D5">
        <w:rPr>
          <w:i/>
          <w:iCs/>
          <w:lang w:val="en-GB"/>
        </w:rPr>
        <w:t>Business Models on Geothermal DHC</w:t>
      </w:r>
      <w:r w:rsidRPr="006F05D5">
        <w:rPr>
          <w:lang w:val="en-GB"/>
        </w:rPr>
        <w:t>. p.41.</w:t>
      </w:r>
    </w:p>
    <w:p w14:paraId="12672247" w14:textId="77777777" w:rsidR="006F05D5" w:rsidRPr="006F05D5" w:rsidRDefault="006F05D5" w:rsidP="006F05D5">
      <w:pPr>
        <w:pStyle w:val="Literatur"/>
        <w:numPr>
          <w:ilvl w:val="0"/>
          <w:numId w:val="5"/>
        </w:numPr>
        <w:ind w:left="426" w:hanging="426"/>
        <w:rPr>
          <w:lang w:val="en-GB"/>
        </w:rPr>
      </w:pPr>
      <w:proofErr w:type="spellStart"/>
      <w:r w:rsidRPr="006F05D5">
        <w:rPr>
          <w:lang w:val="en-GB"/>
        </w:rPr>
        <w:t>Pétursson</w:t>
      </w:r>
      <w:proofErr w:type="spellEnd"/>
      <w:r w:rsidRPr="006F05D5">
        <w:rPr>
          <w:lang w:val="en-GB"/>
        </w:rPr>
        <w:t xml:space="preserve">, B. et al. (n.d.) </w:t>
      </w:r>
      <w:r w:rsidRPr="006F05D5">
        <w:rPr>
          <w:i/>
          <w:iCs/>
          <w:lang w:val="en-GB"/>
        </w:rPr>
        <w:t>Financial Instruments and Funding of RD&amp;D and Geothermal Projects Barriers and Opportunities</w:t>
      </w:r>
      <w:r w:rsidRPr="006F05D5">
        <w:rPr>
          <w:lang w:val="en-GB"/>
        </w:rPr>
        <w:t>. 53.</w:t>
      </w:r>
    </w:p>
    <w:p w14:paraId="199AACDA" w14:textId="77777777" w:rsidR="006F05D5" w:rsidRPr="006F05D5" w:rsidRDefault="006F05D5" w:rsidP="006F05D5">
      <w:pPr>
        <w:pStyle w:val="Literatur"/>
        <w:numPr>
          <w:ilvl w:val="0"/>
          <w:numId w:val="5"/>
        </w:numPr>
        <w:ind w:left="426" w:hanging="426"/>
        <w:rPr>
          <w:lang w:val="en-GB"/>
        </w:rPr>
      </w:pPr>
      <w:r w:rsidRPr="006F05D5">
        <w:rPr>
          <w:lang w:val="en-GB"/>
        </w:rPr>
        <w:t xml:space="preserve">Thomas </w:t>
      </w:r>
      <w:proofErr w:type="spellStart"/>
      <w:r w:rsidRPr="006F05D5">
        <w:rPr>
          <w:lang w:val="en-GB"/>
        </w:rPr>
        <w:t>Garabetian</w:t>
      </w:r>
      <w:proofErr w:type="spellEnd"/>
      <w:r w:rsidRPr="006F05D5">
        <w:rPr>
          <w:lang w:val="en-GB"/>
        </w:rPr>
        <w:t xml:space="preserve"> (2020) </w:t>
      </w:r>
      <w:r w:rsidRPr="006F05D5">
        <w:rPr>
          <w:i/>
          <w:iCs/>
          <w:lang w:val="en-GB"/>
        </w:rPr>
        <w:t>Financing Geothermal Energy</w:t>
      </w:r>
      <w:r w:rsidRPr="006F05D5">
        <w:rPr>
          <w:lang w:val="en-GB"/>
        </w:rPr>
        <w:t xml:space="preserve">. [online]. Available from: </w:t>
      </w:r>
      <w:hyperlink r:id="rId14" w:history="1">
        <w:r w:rsidRPr="006F05D5">
          <w:rPr>
            <w:rStyle w:val="Hyperlink"/>
            <w:lang w:val="en-GB"/>
          </w:rPr>
          <w:t>https://euagenda.eu/upload/publications/financing-paper-final.pdf</w:t>
        </w:r>
      </w:hyperlink>
      <w:r w:rsidRPr="006F05D5">
        <w:rPr>
          <w:lang w:val="en-GB"/>
        </w:rPr>
        <w:t xml:space="preserve"> (Accessed 16 November 2022).</w:t>
      </w:r>
    </w:p>
    <w:p w14:paraId="00FEE46F" w14:textId="77777777" w:rsidR="006F05D5" w:rsidRPr="006F05D5" w:rsidRDefault="006F05D5" w:rsidP="006F05D5">
      <w:pPr>
        <w:pStyle w:val="Literatur"/>
        <w:ind w:left="0" w:firstLine="0"/>
        <w:rPr>
          <w:lang w:val="en-GB"/>
        </w:rPr>
      </w:pPr>
    </w:p>
    <w:sectPr w:rsidR="006F05D5" w:rsidRPr="006F05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B2B0" w14:textId="77777777" w:rsidR="008A49AC" w:rsidRDefault="008A49AC">
      <w:r>
        <w:separator/>
      </w:r>
    </w:p>
  </w:endnote>
  <w:endnote w:type="continuationSeparator" w:id="0">
    <w:p w14:paraId="20824257" w14:textId="77777777" w:rsidR="008A49AC" w:rsidRDefault="008A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C8EB" w14:textId="77777777" w:rsidR="008A49AC" w:rsidRDefault="008A49AC">
      <w:r>
        <w:separator/>
      </w:r>
    </w:p>
  </w:footnote>
  <w:footnote w:type="continuationSeparator" w:id="0">
    <w:p w14:paraId="7F1BD5A3" w14:textId="77777777" w:rsidR="008A49AC" w:rsidRDefault="008A49AC">
      <w:r>
        <w:continuationSeparator/>
      </w:r>
    </w:p>
  </w:footnote>
  <w:footnote w:id="1">
    <w:p w14:paraId="721184A6" w14:textId="294D83A6" w:rsidR="006F05D5" w:rsidRPr="006F05D5" w:rsidRDefault="00D53E86" w:rsidP="006F05D5">
      <w:pPr>
        <w:rPr>
          <w:lang w:val="it-IT"/>
        </w:rPr>
      </w:pPr>
      <w:r w:rsidRPr="00A115D2">
        <w:rPr>
          <w:rStyle w:val="FootnoteReference"/>
        </w:rPr>
        <w:footnoteRef/>
      </w:r>
      <w:r w:rsidRPr="006F05D5">
        <w:rPr>
          <w:lang w:val="it-IT"/>
        </w:rPr>
        <w:t xml:space="preserve"> </w:t>
      </w:r>
      <w:proofErr w:type="spellStart"/>
      <w:r w:rsidR="006F05D5">
        <w:rPr>
          <w:lang w:val="it-IT"/>
        </w:rPr>
        <w:t>Adresse</w:t>
      </w:r>
      <w:proofErr w:type="spellEnd"/>
      <w:r w:rsidR="006F05D5">
        <w:rPr>
          <w:lang w:val="it-IT"/>
        </w:rPr>
        <w:t>: e-</w:t>
      </w:r>
      <w:proofErr w:type="spellStart"/>
      <w:r w:rsidR="006F05D5">
        <w:rPr>
          <w:lang w:val="it-IT"/>
        </w:rPr>
        <w:t>think</w:t>
      </w:r>
      <w:proofErr w:type="spellEnd"/>
      <w:r w:rsidR="006F05D5">
        <w:rPr>
          <w:lang w:val="it-IT"/>
        </w:rPr>
        <w:t xml:space="preserve"> energy </w:t>
      </w:r>
      <w:proofErr w:type="spellStart"/>
      <w:r w:rsidR="006F05D5">
        <w:rPr>
          <w:lang w:val="it-IT"/>
        </w:rPr>
        <w:t>research</w:t>
      </w:r>
      <w:proofErr w:type="spellEnd"/>
      <w:r w:rsidR="006F05D5">
        <w:rPr>
          <w:lang w:val="it-IT"/>
        </w:rPr>
        <w:t xml:space="preserve">, </w:t>
      </w:r>
      <w:proofErr w:type="spellStart"/>
      <w:r w:rsidR="006F05D5" w:rsidRPr="006F05D5">
        <w:rPr>
          <w:lang w:val="it-IT"/>
        </w:rPr>
        <w:t>Argentinierstrasse</w:t>
      </w:r>
      <w:proofErr w:type="spellEnd"/>
      <w:r w:rsidR="006F05D5" w:rsidRPr="006F05D5">
        <w:rPr>
          <w:lang w:val="it-IT"/>
        </w:rPr>
        <w:t xml:space="preserve"> 18/10</w:t>
      </w:r>
      <w:r w:rsidR="006F05D5">
        <w:rPr>
          <w:lang w:val="it-IT"/>
        </w:rPr>
        <w:t xml:space="preserve">, </w:t>
      </w:r>
      <w:r w:rsidR="006F05D5" w:rsidRPr="006F05D5">
        <w:rPr>
          <w:lang w:val="it-IT"/>
        </w:rPr>
        <w:t>A-1040 Vienna</w:t>
      </w:r>
      <w:r w:rsidR="006F05D5">
        <w:rPr>
          <w:lang w:val="it-IT"/>
        </w:rPr>
        <w:t xml:space="preserve">, </w:t>
      </w:r>
      <w:r w:rsidR="006F05D5" w:rsidRPr="006F05D5">
        <w:rPr>
          <w:lang w:val="it-IT"/>
        </w:rPr>
        <w:t>Austria</w:t>
      </w:r>
    </w:p>
    <w:p w14:paraId="115D10B8" w14:textId="77777777" w:rsidR="006F05D5" w:rsidRPr="006F05D5" w:rsidRDefault="006F05D5" w:rsidP="006F05D5">
      <w:pPr>
        <w:rPr>
          <w:lang w:val="it-IT"/>
        </w:rPr>
      </w:pPr>
      <w:r w:rsidRPr="006F05D5">
        <w:rPr>
          <w:lang w:val="it-IT"/>
        </w:rPr>
        <w:t>Tel: +43(0)670 703 35 70</w:t>
      </w:r>
    </w:p>
    <w:p w14:paraId="3A571499" w14:textId="77777777" w:rsidR="006F05D5" w:rsidRPr="006F05D5" w:rsidRDefault="006F05D5" w:rsidP="006F05D5">
      <w:pPr>
        <w:rPr>
          <w:lang w:val="en-GB"/>
        </w:rPr>
      </w:pPr>
      <w:proofErr w:type="spellStart"/>
      <w:r w:rsidRPr="006F05D5">
        <w:rPr>
          <w:lang w:val="en-GB"/>
        </w:rPr>
        <w:t>EMail</w:t>
      </w:r>
      <w:proofErr w:type="spellEnd"/>
      <w:r w:rsidRPr="006F05D5">
        <w:rPr>
          <w:lang w:val="en-GB"/>
        </w:rPr>
        <w:t>: conforto@e-think.ac.at</w:t>
      </w:r>
    </w:p>
    <w:p w14:paraId="1DD27DBA" w14:textId="39BDFC70" w:rsidR="00D53E86" w:rsidRPr="00FB69AE" w:rsidRDefault="006F05D5" w:rsidP="006F05D5">
      <w:r>
        <w:t>Web: http://e-think.ac.at/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F1F99"/>
    <w:multiLevelType w:val="hybridMultilevel"/>
    <w:tmpl w:val="D4C4E5D8"/>
    <w:lvl w:ilvl="0" w:tplc="3D52E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D75967"/>
    <w:multiLevelType w:val="multilevel"/>
    <w:tmpl w:val="0978BA90"/>
    <w:numStyleLink w:val="Aufzhlung"/>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53978605">
    <w:abstractNumId w:val="1"/>
  </w:num>
  <w:num w:numId="2" w16cid:durableId="708529995">
    <w:abstractNumId w:val="4"/>
  </w:num>
  <w:num w:numId="3" w16cid:durableId="1030687698">
    <w:abstractNumId w:val="3"/>
  </w:num>
  <w:num w:numId="4" w16cid:durableId="969364753">
    <w:abstractNumId w:val="0"/>
  </w:num>
  <w:num w:numId="5" w16cid:durableId="1468858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K0NDIxNzS3tDQzMDRR0lEKTi0uzszPAykwqgUACy0pZCwAAAA="/>
  </w:docVars>
  <w:rsids>
    <w:rsidRoot w:val="005E4D4F"/>
    <w:rsid w:val="00010E92"/>
    <w:rsid w:val="002014D3"/>
    <w:rsid w:val="00227125"/>
    <w:rsid w:val="00262FD5"/>
    <w:rsid w:val="002946B8"/>
    <w:rsid w:val="00335E63"/>
    <w:rsid w:val="00350F98"/>
    <w:rsid w:val="00372D53"/>
    <w:rsid w:val="003B676F"/>
    <w:rsid w:val="003C28FE"/>
    <w:rsid w:val="00483B87"/>
    <w:rsid w:val="004E3D97"/>
    <w:rsid w:val="00564569"/>
    <w:rsid w:val="005B1ADB"/>
    <w:rsid w:val="005E4D4F"/>
    <w:rsid w:val="0068520F"/>
    <w:rsid w:val="006F05D5"/>
    <w:rsid w:val="007378C8"/>
    <w:rsid w:val="00741EC0"/>
    <w:rsid w:val="00803917"/>
    <w:rsid w:val="008563D8"/>
    <w:rsid w:val="008A49AC"/>
    <w:rsid w:val="009410D4"/>
    <w:rsid w:val="00A07737"/>
    <w:rsid w:val="00A156E4"/>
    <w:rsid w:val="00A6148D"/>
    <w:rsid w:val="00AC61DF"/>
    <w:rsid w:val="00BF05FA"/>
    <w:rsid w:val="00CA0159"/>
    <w:rsid w:val="00CE1A70"/>
    <w:rsid w:val="00D53E86"/>
    <w:rsid w:val="00D736F8"/>
    <w:rsid w:val="00E520E6"/>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125"/>
    <w:pPr>
      <w:jc w:val="both"/>
    </w:pPr>
    <w:rPr>
      <w:rFonts w:ascii="Arial" w:hAnsi="Arial"/>
      <w:szCs w:val="24"/>
      <w:lang w:val="de-DE"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le">
    <w:name w:val="Title"/>
    <w:basedOn w:val="Normal"/>
    <w:link w:val="TitleChar"/>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NoList"/>
    <w:rsid w:val="00227125"/>
    <w:pPr>
      <w:numPr>
        <w:numId w:val="2"/>
      </w:numPr>
    </w:pPr>
  </w:style>
  <w:style w:type="paragraph" w:customStyle="1" w:styleId="Abbildungsbeschriftung">
    <w:name w:val="Abbildungsbeschriftung"/>
    <w:basedOn w:val="Normal"/>
    <w:rsid w:val="002946B8"/>
    <w:rPr>
      <w:i/>
      <w:iCs/>
    </w:rPr>
  </w:style>
  <w:style w:type="character" w:customStyle="1" w:styleId="TitleChar">
    <w:name w:val="Title Char"/>
    <w:link w:val="Title"/>
    <w:rsid w:val="005E4D4F"/>
    <w:rPr>
      <w:rFonts w:ascii="Arial" w:hAnsi="Arial"/>
      <w:b/>
      <w:snapToGrid w:val="0"/>
      <w:kern w:val="28"/>
      <w:sz w:val="32"/>
      <w:lang w:val="de-DE" w:eastAsia="en-US" w:bidi="ar-SA"/>
    </w:rPr>
  </w:style>
  <w:style w:type="paragraph" w:customStyle="1" w:styleId="Ueberschrift">
    <w:name w:val="Ueberschrift"/>
    <w:basedOn w:val="Normal"/>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le"/>
    <w:rsid w:val="005E4D4F"/>
    <w:rPr>
      <w:rFonts w:cs="Arial"/>
    </w:rPr>
  </w:style>
  <w:style w:type="paragraph" w:customStyle="1" w:styleId="AutorenOrganisation">
    <w:name w:val="Autoren &amp; Organisation"/>
    <w:basedOn w:val="Normal"/>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Normal"/>
    <w:rsid w:val="005E4D4F"/>
    <w:pPr>
      <w:ind w:left="284" w:hanging="284"/>
    </w:pPr>
    <w:rPr>
      <w:rFonts w:cs="Arial"/>
      <w:szCs w:val="20"/>
      <w:lang w:eastAsia="de-DE"/>
    </w:rPr>
  </w:style>
  <w:style w:type="character" w:styleId="Hyperlink">
    <w:name w:val="Hyperlink"/>
    <w:basedOn w:val="DefaultParagraphFont"/>
    <w:uiPriority w:val="99"/>
    <w:unhideWhenUsed/>
    <w:rsid w:val="006F05D5"/>
    <w:rPr>
      <w:color w:val="0563C1" w:themeColor="hyperlink"/>
      <w:u w:val="single"/>
    </w:rPr>
  </w:style>
  <w:style w:type="character" w:styleId="UnresolvedMention">
    <w:name w:val="Unresolved Mention"/>
    <w:basedOn w:val="DefaultParagraphFont"/>
    <w:uiPriority w:val="99"/>
    <w:semiHidden/>
    <w:unhideWhenUsed/>
    <w:rsid w:val="006F0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50008">
      <w:bodyDiv w:val="1"/>
      <w:marLeft w:val="0"/>
      <w:marRight w:val="0"/>
      <w:marTop w:val="0"/>
      <w:marBottom w:val="0"/>
      <w:divBdr>
        <w:top w:val="none" w:sz="0" w:space="0" w:color="auto"/>
        <w:left w:val="none" w:sz="0" w:space="0" w:color="auto"/>
        <w:bottom w:val="none" w:sz="0" w:space="0" w:color="auto"/>
        <w:right w:val="none" w:sz="0" w:space="0" w:color="auto"/>
      </w:divBdr>
      <w:divsChild>
        <w:div w:id="1206985915">
          <w:marLeft w:val="480"/>
          <w:marRight w:val="0"/>
          <w:marTop w:val="0"/>
          <w:marBottom w:val="0"/>
          <w:divBdr>
            <w:top w:val="none" w:sz="0" w:space="0" w:color="auto"/>
            <w:left w:val="none" w:sz="0" w:space="0" w:color="auto"/>
            <w:bottom w:val="none" w:sz="0" w:space="0" w:color="auto"/>
            <w:right w:val="none" w:sz="0" w:space="0" w:color="auto"/>
          </w:divBdr>
          <w:divsChild>
            <w:div w:id="1473250770">
              <w:marLeft w:val="0"/>
              <w:marRight w:val="0"/>
              <w:marTop w:val="0"/>
              <w:marBottom w:val="240"/>
              <w:divBdr>
                <w:top w:val="none" w:sz="0" w:space="0" w:color="auto"/>
                <w:left w:val="none" w:sz="0" w:space="0" w:color="auto"/>
                <w:bottom w:val="none" w:sz="0" w:space="0" w:color="auto"/>
                <w:right w:val="none" w:sz="0" w:space="0" w:color="auto"/>
              </w:divBdr>
            </w:div>
            <w:div w:id="1690908663">
              <w:marLeft w:val="0"/>
              <w:marRight w:val="0"/>
              <w:marTop w:val="0"/>
              <w:marBottom w:val="240"/>
              <w:divBdr>
                <w:top w:val="none" w:sz="0" w:space="0" w:color="auto"/>
                <w:left w:val="none" w:sz="0" w:space="0" w:color="auto"/>
                <w:bottom w:val="none" w:sz="0" w:space="0" w:color="auto"/>
                <w:right w:val="none" w:sz="0" w:space="0" w:color="auto"/>
              </w:divBdr>
            </w:div>
            <w:div w:id="650989722">
              <w:marLeft w:val="0"/>
              <w:marRight w:val="0"/>
              <w:marTop w:val="0"/>
              <w:marBottom w:val="240"/>
              <w:divBdr>
                <w:top w:val="none" w:sz="0" w:space="0" w:color="auto"/>
                <w:left w:val="none" w:sz="0" w:space="0" w:color="auto"/>
                <w:bottom w:val="none" w:sz="0" w:space="0" w:color="auto"/>
                <w:right w:val="none" w:sz="0" w:space="0" w:color="auto"/>
              </w:divBdr>
            </w:div>
            <w:div w:id="977959124">
              <w:marLeft w:val="0"/>
              <w:marRight w:val="0"/>
              <w:marTop w:val="0"/>
              <w:marBottom w:val="240"/>
              <w:divBdr>
                <w:top w:val="none" w:sz="0" w:space="0" w:color="auto"/>
                <w:left w:val="none" w:sz="0" w:space="0" w:color="auto"/>
                <w:bottom w:val="none" w:sz="0" w:space="0" w:color="auto"/>
                <w:right w:val="none" w:sz="0" w:space="0" w:color="auto"/>
              </w:divBdr>
            </w:div>
            <w:div w:id="466968827">
              <w:marLeft w:val="0"/>
              <w:marRight w:val="0"/>
              <w:marTop w:val="0"/>
              <w:marBottom w:val="240"/>
              <w:divBdr>
                <w:top w:val="none" w:sz="0" w:space="0" w:color="auto"/>
                <w:left w:val="none" w:sz="0" w:space="0" w:color="auto"/>
                <w:bottom w:val="none" w:sz="0" w:space="0" w:color="auto"/>
                <w:right w:val="none" w:sz="0" w:space="0" w:color="auto"/>
              </w:divBdr>
            </w:div>
            <w:div w:id="731999398">
              <w:marLeft w:val="0"/>
              <w:marRight w:val="0"/>
              <w:marTop w:val="0"/>
              <w:marBottom w:val="240"/>
              <w:divBdr>
                <w:top w:val="none" w:sz="0" w:space="0" w:color="auto"/>
                <w:left w:val="none" w:sz="0" w:space="0" w:color="auto"/>
                <w:bottom w:val="none" w:sz="0" w:space="0" w:color="auto"/>
                <w:right w:val="none" w:sz="0" w:space="0" w:color="auto"/>
              </w:divBdr>
            </w:div>
            <w:div w:id="11579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8359">
      <w:bodyDiv w:val="1"/>
      <w:marLeft w:val="0"/>
      <w:marRight w:val="0"/>
      <w:marTop w:val="0"/>
      <w:marBottom w:val="0"/>
      <w:divBdr>
        <w:top w:val="none" w:sz="0" w:space="0" w:color="auto"/>
        <w:left w:val="none" w:sz="0" w:space="0" w:color="auto"/>
        <w:bottom w:val="none" w:sz="0" w:space="0" w:color="auto"/>
        <w:right w:val="none" w:sz="0" w:space="0" w:color="auto"/>
      </w:divBdr>
      <w:divsChild>
        <w:div w:id="615255453">
          <w:marLeft w:val="480"/>
          <w:marRight w:val="0"/>
          <w:marTop w:val="0"/>
          <w:marBottom w:val="0"/>
          <w:divBdr>
            <w:top w:val="none" w:sz="0" w:space="0" w:color="auto"/>
            <w:left w:val="none" w:sz="0" w:space="0" w:color="auto"/>
            <w:bottom w:val="none" w:sz="0" w:space="0" w:color="auto"/>
            <w:right w:val="none" w:sz="0" w:space="0" w:color="auto"/>
          </w:divBdr>
          <w:divsChild>
            <w:div w:id="204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40871">
          <w:marLeft w:val="480"/>
          <w:marRight w:val="0"/>
          <w:marTop w:val="0"/>
          <w:marBottom w:val="0"/>
          <w:divBdr>
            <w:top w:val="none" w:sz="0" w:space="0" w:color="auto"/>
            <w:left w:val="none" w:sz="0" w:space="0" w:color="auto"/>
            <w:bottom w:val="none" w:sz="0" w:space="0" w:color="auto"/>
            <w:right w:val="none" w:sz="0" w:space="0" w:color="auto"/>
          </w:divBdr>
          <w:divsChild>
            <w:div w:id="2064980885">
              <w:marLeft w:val="0"/>
              <w:marRight w:val="0"/>
              <w:marTop w:val="0"/>
              <w:marBottom w:val="240"/>
              <w:divBdr>
                <w:top w:val="none" w:sz="0" w:space="0" w:color="auto"/>
                <w:left w:val="none" w:sz="0" w:space="0" w:color="auto"/>
                <w:bottom w:val="none" w:sz="0" w:space="0" w:color="auto"/>
                <w:right w:val="none" w:sz="0" w:space="0" w:color="auto"/>
              </w:divBdr>
            </w:div>
            <w:div w:id="659886954">
              <w:marLeft w:val="0"/>
              <w:marRight w:val="0"/>
              <w:marTop w:val="0"/>
              <w:marBottom w:val="240"/>
              <w:divBdr>
                <w:top w:val="none" w:sz="0" w:space="0" w:color="auto"/>
                <w:left w:val="none" w:sz="0" w:space="0" w:color="auto"/>
                <w:bottom w:val="none" w:sz="0" w:space="0" w:color="auto"/>
                <w:right w:val="none" w:sz="0" w:space="0" w:color="auto"/>
              </w:divBdr>
            </w:div>
            <w:div w:id="1666322270">
              <w:marLeft w:val="0"/>
              <w:marRight w:val="0"/>
              <w:marTop w:val="0"/>
              <w:marBottom w:val="240"/>
              <w:divBdr>
                <w:top w:val="none" w:sz="0" w:space="0" w:color="auto"/>
                <w:left w:val="none" w:sz="0" w:space="0" w:color="auto"/>
                <w:bottom w:val="none" w:sz="0" w:space="0" w:color="auto"/>
                <w:right w:val="none" w:sz="0" w:space="0" w:color="auto"/>
              </w:divBdr>
            </w:div>
            <w:div w:id="565536663">
              <w:marLeft w:val="0"/>
              <w:marRight w:val="0"/>
              <w:marTop w:val="0"/>
              <w:marBottom w:val="240"/>
              <w:divBdr>
                <w:top w:val="none" w:sz="0" w:space="0" w:color="auto"/>
                <w:left w:val="none" w:sz="0" w:space="0" w:color="auto"/>
                <w:bottom w:val="none" w:sz="0" w:space="0" w:color="auto"/>
                <w:right w:val="none" w:sz="0" w:space="0" w:color="auto"/>
              </w:divBdr>
            </w:div>
            <w:div w:id="587078382">
              <w:marLeft w:val="0"/>
              <w:marRight w:val="0"/>
              <w:marTop w:val="0"/>
              <w:marBottom w:val="240"/>
              <w:divBdr>
                <w:top w:val="none" w:sz="0" w:space="0" w:color="auto"/>
                <w:left w:val="none" w:sz="0" w:space="0" w:color="auto"/>
                <w:bottom w:val="none" w:sz="0" w:space="0" w:color="auto"/>
                <w:right w:val="none" w:sz="0" w:space="0" w:color="auto"/>
              </w:divBdr>
            </w:div>
            <w:div w:id="988049181">
              <w:marLeft w:val="0"/>
              <w:marRight w:val="0"/>
              <w:marTop w:val="0"/>
              <w:marBottom w:val="240"/>
              <w:divBdr>
                <w:top w:val="none" w:sz="0" w:space="0" w:color="auto"/>
                <w:left w:val="none" w:sz="0" w:space="0" w:color="auto"/>
                <w:bottom w:val="none" w:sz="0" w:space="0" w:color="auto"/>
                <w:right w:val="none" w:sz="0" w:space="0" w:color="auto"/>
              </w:divBdr>
            </w:div>
            <w:div w:id="1397586402">
              <w:marLeft w:val="0"/>
              <w:marRight w:val="0"/>
              <w:marTop w:val="0"/>
              <w:marBottom w:val="240"/>
              <w:divBdr>
                <w:top w:val="none" w:sz="0" w:space="0" w:color="auto"/>
                <w:left w:val="none" w:sz="0" w:space="0" w:color="auto"/>
                <w:bottom w:val="none" w:sz="0" w:space="0" w:color="auto"/>
                <w:right w:val="none" w:sz="0" w:space="0" w:color="auto"/>
              </w:divBdr>
            </w:div>
            <w:div w:id="302318617">
              <w:marLeft w:val="0"/>
              <w:marRight w:val="0"/>
              <w:marTop w:val="0"/>
              <w:marBottom w:val="240"/>
              <w:divBdr>
                <w:top w:val="none" w:sz="0" w:space="0" w:color="auto"/>
                <w:left w:val="none" w:sz="0" w:space="0" w:color="auto"/>
                <w:bottom w:val="none" w:sz="0" w:space="0" w:color="auto"/>
                <w:right w:val="none" w:sz="0" w:space="0" w:color="auto"/>
              </w:divBdr>
            </w:div>
            <w:div w:id="1146318351">
              <w:marLeft w:val="0"/>
              <w:marRight w:val="0"/>
              <w:marTop w:val="0"/>
              <w:marBottom w:val="240"/>
              <w:divBdr>
                <w:top w:val="none" w:sz="0" w:space="0" w:color="auto"/>
                <w:left w:val="none" w:sz="0" w:space="0" w:color="auto"/>
                <w:bottom w:val="none" w:sz="0" w:space="0" w:color="auto"/>
                <w:right w:val="none" w:sz="0" w:space="0" w:color="auto"/>
              </w:divBdr>
            </w:div>
            <w:div w:id="1739209116">
              <w:marLeft w:val="0"/>
              <w:marRight w:val="0"/>
              <w:marTop w:val="0"/>
              <w:marBottom w:val="240"/>
              <w:divBdr>
                <w:top w:val="none" w:sz="0" w:space="0" w:color="auto"/>
                <w:left w:val="none" w:sz="0" w:space="0" w:color="auto"/>
                <w:bottom w:val="none" w:sz="0" w:space="0" w:color="auto"/>
                <w:right w:val="none" w:sz="0" w:space="0" w:color="auto"/>
              </w:divBdr>
            </w:div>
            <w:div w:id="646975797">
              <w:marLeft w:val="0"/>
              <w:marRight w:val="0"/>
              <w:marTop w:val="0"/>
              <w:marBottom w:val="240"/>
              <w:divBdr>
                <w:top w:val="none" w:sz="0" w:space="0" w:color="auto"/>
                <w:left w:val="none" w:sz="0" w:space="0" w:color="auto"/>
                <w:bottom w:val="none" w:sz="0" w:space="0" w:color="auto"/>
                <w:right w:val="none" w:sz="0" w:space="0" w:color="auto"/>
              </w:divBdr>
            </w:div>
            <w:div w:id="741875134">
              <w:marLeft w:val="0"/>
              <w:marRight w:val="0"/>
              <w:marTop w:val="0"/>
              <w:marBottom w:val="240"/>
              <w:divBdr>
                <w:top w:val="none" w:sz="0" w:space="0" w:color="auto"/>
                <w:left w:val="none" w:sz="0" w:space="0" w:color="auto"/>
                <w:bottom w:val="none" w:sz="0" w:space="0" w:color="auto"/>
                <w:right w:val="none" w:sz="0" w:space="0" w:color="auto"/>
              </w:divBdr>
            </w:div>
            <w:div w:id="183323350">
              <w:marLeft w:val="0"/>
              <w:marRight w:val="0"/>
              <w:marTop w:val="0"/>
              <w:marBottom w:val="240"/>
              <w:divBdr>
                <w:top w:val="none" w:sz="0" w:space="0" w:color="auto"/>
                <w:left w:val="none" w:sz="0" w:space="0" w:color="auto"/>
                <w:bottom w:val="none" w:sz="0" w:space="0" w:color="auto"/>
                <w:right w:val="none" w:sz="0" w:space="0" w:color="auto"/>
              </w:divBdr>
            </w:div>
            <w:div w:id="4259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59472">
      <w:bodyDiv w:val="1"/>
      <w:marLeft w:val="0"/>
      <w:marRight w:val="0"/>
      <w:marTop w:val="0"/>
      <w:marBottom w:val="0"/>
      <w:divBdr>
        <w:top w:val="none" w:sz="0" w:space="0" w:color="auto"/>
        <w:left w:val="none" w:sz="0" w:space="0" w:color="auto"/>
        <w:bottom w:val="none" w:sz="0" w:space="0" w:color="auto"/>
        <w:right w:val="none" w:sz="0" w:space="0" w:color="auto"/>
      </w:divBdr>
      <w:divsChild>
        <w:div w:id="303044361">
          <w:marLeft w:val="480"/>
          <w:marRight w:val="0"/>
          <w:marTop w:val="0"/>
          <w:marBottom w:val="0"/>
          <w:divBdr>
            <w:top w:val="none" w:sz="0" w:space="0" w:color="auto"/>
            <w:left w:val="none" w:sz="0" w:space="0" w:color="auto"/>
            <w:bottom w:val="none" w:sz="0" w:space="0" w:color="auto"/>
            <w:right w:val="none" w:sz="0" w:space="0" w:color="auto"/>
          </w:divBdr>
          <w:divsChild>
            <w:div w:id="50426333">
              <w:marLeft w:val="0"/>
              <w:marRight w:val="0"/>
              <w:marTop w:val="0"/>
              <w:marBottom w:val="240"/>
              <w:divBdr>
                <w:top w:val="none" w:sz="0" w:space="0" w:color="auto"/>
                <w:left w:val="none" w:sz="0" w:space="0" w:color="auto"/>
                <w:bottom w:val="none" w:sz="0" w:space="0" w:color="auto"/>
                <w:right w:val="none" w:sz="0" w:space="0" w:color="auto"/>
              </w:divBdr>
            </w:div>
            <w:div w:id="1631784744">
              <w:marLeft w:val="0"/>
              <w:marRight w:val="0"/>
              <w:marTop w:val="0"/>
              <w:marBottom w:val="240"/>
              <w:divBdr>
                <w:top w:val="none" w:sz="0" w:space="0" w:color="auto"/>
                <w:left w:val="none" w:sz="0" w:space="0" w:color="auto"/>
                <w:bottom w:val="none" w:sz="0" w:space="0" w:color="auto"/>
                <w:right w:val="none" w:sz="0" w:space="0" w:color="auto"/>
              </w:divBdr>
            </w:div>
            <w:div w:id="1813476921">
              <w:marLeft w:val="0"/>
              <w:marRight w:val="0"/>
              <w:marTop w:val="0"/>
              <w:marBottom w:val="240"/>
              <w:divBdr>
                <w:top w:val="none" w:sz="0" w:space="0" w:color="auto"/>
                <w:left w:val="none" w:sz="0" w:space="0" w:color="auto"/>
                <w:bottom w:val="none" w:sz="0" w:space="0" w:color="auto"/>
                <w:right w:val="none" w:sz="0" w:space="0" w:color="auto"/>
              </w:divBdr>
            </w:div>
            <w:div w:id="95566964">
              <w:marLeft w:val="0"/>
              <w:marRight w:val="0"/>
              <w:marTop w:val="0"/>
              <w:marBottom w:val="240"/>
              <w:divBdr>
                <w:top w:val="none" w:sz="0" w:space="0" w:color="auto"/>
                <w:left w:val="none" w:sz="0" w:space="0" w:color="auto"/>
                <w:bottom w:val="none" w:sz="0" w:space="0" w:color="auto"/>
                <w:right w:val="none" w:sz="0" w:space="0" w:color="auto"/>
              </w:divBdr>
            </w:div>
            <w:div w:id="1331906706">
              <w:marLeft w:val="0"/>
              <w:marRight w:val="0"/>
              <w:marTop w:val="0"/>
              <w:marBottom w:val="240"/>
              <w:divBdr>
                <w:top w:val="none" w:sz="0" w:space="0" w:color="auto"/>
                <w:left w:val="none" w:sz="0" w:space="0" w:color="auto"/>
                <w:bottom w:val="none" w:sz="0" w:space="0" w:color="auto"/>
                <w:right w:val="none" w:sz="0" w:space="0" w:color="auto"/>
              </w:divBdr>
            </w:div>
            <w:div w:id="550575147">
              <w:marLeft w:val="0"/>
              <w:marRight w:val="0"/>
              <w:marTop w:val="0"/>
              <w:marBottom w:val="240"/>
              <w:divBdr>
                <w:top w:val="none" w:sz="0" w:space="0" w:color="auto"/>
                <w:left w:val="none" w:sz="0" w:space="0" w:color="auto"/>
                <w:bottom w:val="none" w:sz="0" w:space="0" w:color="auto"/>
                <w:right w:val="none" w:sz="0" w:space="0" w:color="auto"/>
              </w:divBdr>
            </w:div>
            <w:div w:id="589462305">
              <w:marLeft w:val="0"/>
              <w:marRight w:val="0"/>
              <w:marTop w:val="0"/>
              <w:marBottom w:val="240"/>
              <w:divBdr>
                <w:top w:val="none" w:sz="0" w:space="0" w:color="auto"/>
                <w:left w:val="none" w:sz="0" w:space="0" w:color="auto"/>
                <w:bottom w:val="none" w:sz="0" w:space="0" w:color="auto"/>
                <w:right w:val="none" w:sz="0" w:space="0" w:color="auto"/>
              </w:divBdr>
            </w:div>
            <w:div w:id="1569343397">
              <w:marLeft w:val="0"/>
              <w:marRight w:val="0"/>
              <w:marTop w:val="0"/>
              <w:marBottom w:val="240"/>
              <w:divBdr>
                <w:top w:val="none" w:sz="0" w:space="0" w:color="auto"/>
                <w:left w:val="none" w:sz="0" w:space="0" w:color="auto"/>
                <w:bottom w:val="none" w:sz="0" w:space="0" w:color="auto"/>
                <w:right w:val="none" w:sz="0" w:space="0" w:color="auto"/>
              </w:divBdr>
            </w:div>
            <w:div w:id="341977112">
              <w:marLeft w:val="0"/>
              <w:marRight w:val="0"/>
              <w:marTop w:val="0"/>
              <w:marBottom w:val="240"/>
              <w:divBdr>
                <w:top w:val="none" w:sz="0" w:space="0" w:color="auto"/>
                <w:left w:val="none" w:sz="0" w:space="0" w:color="auto"/>
                <w:bottom w:val="none" w:sz="0" w:space="0" w:color="auto"/>
                <w:right w:val="none" w:sz="0" w:space="0" w:color="auto"/>
              </w:divBdr>
            </w:div>
            <w:div w:id="1164470534">
              <w:marLeft w:val="0"/>
              <w:marRight w:val="0"/>
              <w:marTop w:val="0"/>
              <w:marBottom w:val="240"/>
              <w:divBdr>
                <w:top w:val="none" w:sz="0" w:space="0" w:color="auto"/>
                <w:left w:val="none" w:sz="0" w:space="0" w:color="auto"/>
                <w:bottom w:val="none" w:sz="0" w:space="0" w:color="auto"/>
                <w:right w:val="none" w:sz="0" w:space="0" w:color="auto"/>
              </w:divBdr>
            </w:div>
            <w:div w:id="1088045041">
              <w:marLeft w:val="0"/>
              <w:marRight w:val="0"/>
              <w:marTop w:val="0"/>
              <w:marBottom w:val="240"/>
              <w:divBdr>
                <w:top w:val="none" w:sz="0" w:space="0" w:color="auto"/>
                <w:left w:val="none" w:sz="0" w:space="0" w:color="auto"/>
                <w:bottom w:val="none" w:sz="0" w:space="0" w:color="auto"/>
                <w:right w:val="none" w:sz="0" w:space="0" w:color="auto"/>
              </w:divBdr>
            </w:div>
            <w:div w:id="452790228">
              <w:marLeft w:val="0"/>
              <w:marRight w:val="0"/>
              <w:marTop w:val="0"/>
              <w:marBottom w:val="240"/>
              <w:divBdr>
                <w:top w:val="none" w:sz="0" w:space="0" w:color="auto"/>
                <w:left w:val="none" w:sz="0" w:space="0" w:color="auto"/>
                <w:bottom w:val="none" w:sz="0" w:space="0" w:color="auto"/>
                <w:right w:val="none" w:sz="0" w:space="0" w:color="auto"/>
              </w:divBdr>
            </w:div>
            <w:div w:id="1288076049">
              <w:marLeft w:val="0"/>
              <w:marRight w:val="0"/>
              <w:marTop w:val="0"/>
              <w:marBottom w:val="240"/>
              <w:divBdr>
                <w:top w:val="none" w:sz="0" w:space="0" w:color="auto"/>
                <w:left w:val="none" w:sz="0" w:space="0" w:color="auto"/>
                <w:bottom w:val="none" w:sz="0" w:space="0" w:color="auto"/>
                <w:right w:val="none" w:sz="0" w:space="0" w:color="auto"/>
              </w:divBdr>
            </w:div>
            <w:div w:id="19278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odh.eu/wp-content/uploads/2012/07/GeoDH-Factsheet_Model-For-Bank_EGEC-v2.pdf" TargetMode="External"/><Relationship Id="rId13" Type="http://schemas.openxmlformats.org/officeDocument/2006/relationships/hyperlink" Target="http://geodh.eu/wp-content/uploads/2014/11/4-1-Report-on-support-schemes-for-GeoDH.pdf" TargetMode="External"/><Relationship Id="rId3" Type="http://schemas.openxmlformats.org/officeDocument/2006/relationships/settings" Target="settings.xml"/><Relationship Id="rId7" Type="http://schemas.openxmlformats.org/officeDocument/2006/relationships/hyperlink" Target="https://www.lowtemp.eu/wp-content/uploads/2020/09/LowTEMP_Financing_Schemes_and_Business_Models_StudyBusinessModelsAndInnovativeFundingStructures.pdf" TargetMode="External"/><Relationship Id="rId12" Type="http://schemas.openxmlformats.org/officeDocument/2006/relationships/hyperlink" Target="http://geodh.eu/wp-content/uploads/2012/07/4.4-Models-for-banks-and-financial-institutions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odh.eu/wp-content/uploads/2014/12/Fact-Sheet-Market-Development-v.3-November-201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c.europa.eu/energy/sites/ener/files/documents/mapping-hc-final_report_wp1.pdf" TargetMode="External"/><Relationship Id="rId4" Type="http://schemas.openxmlformats.org/officeDocument/2006/relationships/webSettings" Target="webSettings.xml"/><Relationship Id="rId9" Type="http://schemas.openxmlformats.org/officeDocument/2006/relationships/hyperlink" Target="https://www.interreg-central.eu/Content.Node/ENTRAIN/D.T3.4.2-Summary-report-financing-tools-EN.pdf" TargetMode="External"/><Relationship Id="rId14" Type="http://schemas.openxmlformats.org/officeDocument/2006/relationships/hyperlink" Target="https://euagenda.eu/upload/publications/financing-paper-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5360</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TU-Wien Campuslizenz</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Giulia Conforto</cp:lastModifiedBy>
  <cp:revision>4</cp:revision>
  <dcterms:created xsi:type="dcterms:W3CDTF">2022-11-16T13:47:00Z</dcterms:created>
  <dcterms:modified xsi:type="dcterms:W3CDTF">2022-11-22T17:38:00Z</dcterms:modified>
</cp:coreProperties>
</file>