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D61A21" w14:textId="1D596104" w:rsidR="005E4D4F" w:rsidRPr="005E4D4F" w:rsidRDefault="003F56CC" w:rsidP="00383EDE">
      <w:pPr>
        <w:pStyle w:val="Abstract-Titel"/>
        <w:spacing w:after="160"/>
      </w:pPr>
      <w:r w:rsidRPr="003F56CC">
        <w:t xml:space="preserve">Zeitreihenvorhersage </w:t>
      </w:r>
      <w:r w:rsidR="002D1C65">
        <w:t xml:space="preserve">für die </w:t>
      </w:r>
      <w:r w:rsidRPr="003F56CC">
        <w:t>Stromerzeugung</w:t>
      </w:r>
      <w:r w:rsidR="002D1C65">
        <w:t xml:space="preserve"> </w:t>
      </w:r>
      <w:r w:rsidR="003C31B1">
        <w:t>aus variablen</w:t>
      </w:r>
      <w:r w:rsidR="002D1C65">
        <w:t xml:space="preserve"> </w:t>
      </w:r>
      <w:r w:rsidR="003C31B1">
        <w:t>E</w:t>
      </w:r>
      <w:r w:rsidR="002D1C65">
        <w:t>rneuerbare</w:t>
      </w:r>
      <w:r w:rsidR="003C31B1">
        <w:t>n</w:t>
      </w:r>
      <w:r w:rsidR="002D1C65">
        <w:t xml:space="preserve"> Energien</w:t>
      </w:r>
      <w:r w:rsidRPr="003F56CC">
        <w:t xml:space="preserve"> </w:t>
      </w:r>
      <w:r>
        <w:t>─</w:t>
      </w:r>
      <w:r w:rsidRPr="003F56CC">
        <w:t xml:space="preserve"> Ein hybrider </w:t>
      </w:r>
      <w:r w:rsidR="002D1C65">
        <w:t>A</w:t>
      </w:r>
      <w:r w:rsidRPr="003F56CC">
        <w:t xml:space="preserve">nsatz </w:t>
      </w:r>
      <w:r>
        <w:t>mit</w:t>
      </w:r>
      <w:r w:rsidRPr="003F56CC">
        <w:t xml:space="preserve"> analytischen</w:t>
      </w:r>
      <w:r>
        <w:t xml:space="preserve"> Modellen</w:t>
      </w:r>
      <w:r w:rsidR="00A82122">
        <w:t xml:space="preserve"> und Machine Learning</w:t>
      </w:r>
    </w:p>
    <w:p w14:paraId="16125467" w14:textId="7DB1EB67" w:rsidR="00281530" w:rsidRPr="003F56CC" w:rsidRDefault="00BF05FA" w:rsidP="00383EDE">
      <w:pPr>
        <w:pStyle w:val="AutorenOrganisation"/>
        <w:spacing w:before="80" w:after="160"/>
        <w:rPr>
          <w:lang w:val="de-DE"/>
        </w:rPr>
      </w:pPr>
      <w:r>
        <w:t>Themenbereich</w:t>
      </w:r>
      <w:r w:rsidR="00C173EE">
        <w:t xml:space="preserve"> </w:t>
      </w:r>
      <w:r w:rsidR="003F56CC">
        <w:t>2</w:t>
      </w:r>
      <w:r w:rsidR="00C173EE">
        <w:t xml:space="preserve">: </w:t>
      </w:r>
      <w:r w:rsidR="003F56CC" w:rsidRPr="003F56CC">
        <w:t>Energieerzeugung/-infrastruktur und Netze</w:t>
      </w:r>
    </w:p>
    <w:p w14:paraId="0AEFEF48" w14:textId="4D39CD1C" w:rsidR="005E4D4F" w:rsidRPr="00887DC1" w:rsidRDefault="00520A2D" w:rsidP="00A156E4">
      <w:pPr>
        <w:pStyle w:val="AutorenOrganisation"/>
        <w:rPr>
          <w:lang w:val="nb-NO"/>
        </w:rPr>
      </w:pPr>
      <w:r w:rsidRPr="00887DC1">
        <w:rPr>
          <w:lang w:val="nb-NO"/>
        </w:rPr>
        <w:t>Marius</w:t>
      </w:r>
      <w:r w:rsidR="005E4D4F" w:rsidRPr="00887DC1">
        <w:rPr>
          <w:lang w:val="nb-NO"/>
        </w:rPr>
        <w:t xml:space="preserve"> </w:t>
      </w:r>
      <w:r w:rsidRPr="00887DC1">
        <w:rPr>
          <w:lang w:val="nb-NO"/>
        </w:rPr>
        <w:t>TIL</w:t>
      </w:r>
      <w:r w:rsidR="00887DC1" w:rsidRPr="00887DC1">
        <w:rPr>
          <w:lang w:val="nb-NO"/>
        </w:rPr>
        <w:t>L</w:t>
      </w:r>
      <w:r w:rsidRPr="00887DC1">
        <w:rPr>
          <w:lang w:val="nb-NO"/>
        </w:rPr>
        <w:t>MANNS</w:t>
      </w:r>
      <w:r w:rsidR="005E4D4F" w:rsidRPr="00010E92">
        <w:rPr>
          <w:vertAlign w:val="superscript"/>
        </w:rPr>
        <w:footnoteReference w:id="1"/>
      </w:r>
      <w:r w:rsidR="00A156E4" w:rsidRPr="00887DC1">
        <w:rPr>
          <w:vertAlign w:val="superscript"/>
          <w:lang w:val="nb-NO"/>
        </w:rPr>
        <w:t>(1)</w:t>
      </w:r>
      <w:r w:rsidR="005E4D4F" w:rsidRPr="00887DC1">
        <w:rPr>
          <w:lang w:val="nb-NO"/>
        </w:rPr>
        <w:t xml:space="preserve">, </w:t>
      </w:r>
      <w:r w:rsidRPr="00887DC1">
        <w:rPr>
          <w:lang w:val="nb-NO"/>
        </w:rPr>
        <w:t>Jan PRIESMANN</w:t>
      </w:r>
      <w:r w:rsidR="00A156E4" w:rsidRPr="00887DC1">
        <w:rPr>
          <w:vertAlign w:val="superscript"/>
          <w:lang w:val="nb-NO"/>
        </w:rPr>
        <w:t>(</w:t>
      </w:r>
      <w:r w:rsidRPr="00887DC1">
        <w:rPr>
          <w:vertAlign w:val="superscript"/>
          <w:lang w:val="nb-NO"/>
        </w:rPr>
        <w:t>1</w:t>
      </w:r>
      <w:r w:rsidR="00A156E4" w:rsidRPr="00887DC1">
        <w:rPr>
          <w:vertAlign w:val="superscript"/>
          <w:lang w:val="nb-NO"/>
        </w:rPr>
        <w:t>)</w:t>
      </w:r>
      <w:r w:rsidRPr="00887DC1">
        <w:rPr>
          <w:lang w:val="nb-NO"/>
        </w:rPr>
        <w:t>, Felix MENNE</w:t>
      </w:r>
      <w:r w:rsidRPr="00887DC1">
        <w:rPr>
          <w:vertAlign w:val="superscript"/>
          <w:lang w:val="nb-NO"/>
        </w:rPr>
        <w:t>(</w:t>
      </w:r>
      <w:r w:rsidR="003F56CC" w:rsidRPr="00887DC1">
        <w:rPr>
          <w:vertAlign w:val="superscript"/>
          <w:lang w:val="nb-NO"/>
        </w:rPr>
        <w:t>1</w:t>
      </w:r>
      <w:r w:rsidRPr="00887DC1">
        <w:rPr>
          <w:vertAlign w:val="superscript"/>
          <w:lang w:val="nb-NO"/>
        </w:rPr>
        <w:t>)</w:t>
      </w:r>
      <w:r w:rsidRPr="00887DC1">
        <w:rPr>
          <w:lang w:val="nb-NO"/>
        </w:rPr>
        <w:t>, Aaron PRAKTIKNJO</w:t>
      </w:r>
      <w:r w:rsidRPr="00887DC1">
        <w:rPr>
          <w:vertAlign w:val="superscript"/>
          <w:lang w:val="nb-NO"/>
        </w:rPr>
        <w:t>(1)</w:t>
      </w:r>
    </w:p>
    <w:p w14:paraId="7D0DC61F" w14:textId="681A9751" w:rsidR="00A07737" w:rsidRPr="005E4D4F" w:rsidRDefault="00A156E4" w:rsidP="00082970">
      <w:pPr>
        <w:pStyle w:val="AutorenOrganisation"/>
      </w:pPr>
      <w:r>
        <w:rPr>
          <w:vertAlign w:val="superscript"/>
        </w:rPr>
        <w:t>(</w:t>
      </w:r>
      <w:proofErr w:type="gramStart"/>
      <w:r w:rsidR="00010E92" w:rsidRPr="00010E92">
        <w:rPr>
          <w:vertAlign w:val="superscript"/>
        </w:rPr>
        <w:t>1</w:t>
      </w:r>
      <w:r>
        <w:rPr>
          <w:vertAlign w:val="superscript"/>
        </w:rPr>
        <w:t>)</w:t>
      </w:r>
      <w:r w:rsidR="00520A2D">
        <w:t>Lehrstuhl</w:t>
      </w:r>
      <w:proofErr w:type="gramEnd"/>
      <w:r w:rsidR="00520A2D">
        <w:t xml:space="preserve"> für Energiesystemökonomik</w:t>
      </w:r>
      <w:r w:rsidR="003F56CC">
        <w:t>, E.ON Energy Research Center</w:t>
      </w:r>
      <w:r w:rsidR="00520A2D">
        <w:t>, RWTH Aachen University</w:t>
      </w:r>
    </w:p>
    <w:p w14:paraId="7969C554" w14:textId="77777777" w:rsidR="009A51CC" w:rsidRPr="009A51CC" w:rsidRDefault="009A51CC" w:rsidP="005E4D4F">
      <w:pPr>
        <w:pStyle w:val="Ueberschrift"/>
        <w:rPr>
          <w:b w:val="0"/>
          <w:bCs/>
          <w:sz w:val="20"/>
          <w:szCs w:val="20"/>
        </w:rPr>
      </w:pPr>
    </w:p>
    <w:p w14:paraId="14767CFD" w14:textId="05892554" w:rsidR="005E4D4F" w:rsidRPr="005E4D4F" w:rsidRDefault="005E4D4F" w:rsidP="005E4D4F">
      <w:pPr>
        <w:pStyle w:val="Ueberschrift"/>
      </w:pPr>
      <w:r w:rsidRPr="005E4D4F">
        <w:t>Motivation und zentrale Fragestellung</w:t>
      </w:r>
    </w:p>
    <w:p w14:paraId="041A4D9D" w14:textId="7F9FF2D0" w:rsidR="005E4D4F" w:rsidRDefault="00DF0E55" w:rsidP="00227125">
      <w:r>
        <w:t>Mögliche Einbußen bei der Zuverlässigkeit der Stromversorgung werden häufig als Bedenken gegen den Ausstieg aus</w:t>
      </w:r>
      <w:r w:rsidR="00EF4343">
        <w:t xml:space="preserve"> </w:t>
      </w:r>
      <w:r>
        <w:t xml:space="preserve">Kernenergienutzung und Kohleverstromung aufgeführt. Heutzutage erweitert sich der zu betrachtende </w:t>
      </w:r>
      <w:r w:rsidR="00EF4343">
        <w:t>Szenario</w:t>
      </w:r>
      <w:r>
        <w:t>raum um Ausstieg</w:t>
      </w:r>
      <w:r w:rsidR="00C2154D">
        <w:t>sszenarien</w:t>
      </w:r>
      <w:r>
        <w:t xml:space="preserve"> </w:t>
      </w:r>
      <w:r w:rsidR="00EF4343">
        <w:t>bei</w:t>
      </w:r>
      <w:r>
        <w:t xml:space="preserve"> der Erdgasnutzung zur </w:t>
      </w:r>
      <w:r w:rsidR="00EF4343">
        <w:t>Strom</w:t>
      </w:r>
      <w:r>
        <w:t xml:space="preserve">erzeugung im Kontext </w:t>
      </w:r>
      <w:proofErr w:type="gramStart"/>
      <w:r>
        <w:t>potentieller</w:t>
      </w:r>
      <w:proofErr w:type="gramEnd"/>
      <w:r>
        <w:t xml:space="preserve"> Versorgungseinbrüche. Gleichzeitig steigt die Komplexität des Energiesystems durch den Ausbau </w:t>
      </w:r>
      <w:r w:rsidR="00C2154D">
        <w:t>dargebotsabhängiger</w:t>
      </w:r>
      <w:r>
        <w:t xml:space="preserve"> dezentraler Erzeugung</w:t>
      </w:r>
      <w:r w:rsidR="00C2154D">
        <w:t>sanlagen</w:t>
      </w:r>
      <w:r>
        <w:t xml:space="preserve"> sowie die</w:t>
      </w:r>
      <w:r w:rsidR="00EF4343">
        <w:t xml:space="preserve"> voranschreitende</w:t>
      </w:r>
      <w:r>
        <w:t xml:space="preserve"> Sektorenkopplung. Vor d</w:t>
      </w:r>
      <w:r w:rsidR="00C2154D">
        <w:t>iesem</w:t>
      </w:r>
      <w:r>
        <w:t xml:space="preserve"> Hintergrund erfordert die Versorgungssicherheitsbewertung die Analyse einer Vielzahl möglicher Zukunftsszenarien, um die Resilienz des Energiesystems adäquat evaluieren zu können. Bisherige Methoden sind jedoch äußerst komplex und damit </w:t>
      </w:r>
      <w:r w:rsidR="00C2154D">
        <w:t>ressourcenintensiv</w:t>
      </w:r>
      <w:r>
        <w:t xml:space="preserve"> und in der Anzahl der zu untersuchenden Szenarien stark limitiert</w:t>
      </w:r>
      <w:r w:rsidR="00BB255B">
        <w:t xml:space="preserve"> [1]</w:t>
      </w:r>
      <w:r w:rsidR="001B1F7C">
        <w:t>, [2]</w:t>
      </w:r>
      <w:r>
        <w:t xml:space="preserve">. </w:t>
      </w:r>
      <w:r w:rsidR="00D25BDC">
        <w:t xml:space="preserve">Wir </w:t>
      </w:r>
      <w:r>
        <w:t>entwickel</w:t>
      </w:r>
      <w:r w:rsidR="00D25BDC">
        <w:t>n</w:t>
      </w:r>
      <w:r>
        <w:t xml:space="preserve"> daher neue Ansätze basierend auf Methoden aus dem Bereich der Künstlichen Intelligenz</w:t>
      </w:r>
      <w:r w:rsidR="00FC209E">
        <w:t xml:space="preserve"> (KI)</w:t>
      </w:r>
      <w:r>
        <w:t xml:space="preserve">, um </w:t>
      </w:r>
      <w:r w:rsidR="00D25BDC">
        <w:t>diese</w:t>
      </w:r>
      <w:r>
        <w:t xml:space="preserve"> Analysen zu beschleunigen</w:t>
      </w:r>
      <w:r w:rsidR="00D25BDC">
        <w:t xml:space="preserve"> und somit </w:t>
      </w:r>
      <w:r>
        <w:t>den zukünftigen Unsicherheitsraum hinsichtlich der Versorgungssicherheit im Stromsystem möglichst umfassend abdecken</w:t>
      </w:r>
      <w:r w:rsidR="00D25BDC">
        <w:t xml:space="preserve"> zu können</w:t>
      </w:r>
      <w:r>
        <w:t>.</w:t>
      </w:r>
    </w:p>
    <w:p w14:paraId="0A9689C9" w14:textId="77777777" w:rsidR="001C2575" w:rsidRPr="00E97292" w:rsidRDefault="001C2575" w:rsidP="00227125">
      <w:pPr>
        <w:rPr>
          <w:szCs w:val="20"/>
        </w:rPr>
      </w:pPr>
    </w:p>
    <w:p w14:paraId="305772DC" w14:textId="0CBB6A20" w:rsidR="001C2575" w:rsidRDefault="001C2575" w:rsidP="00227125">
      <w:r>
        <w:t>Da das exakte Gleichgewicht zwischen</w:t>
      </w:r>
      <w:r w:rsidRPr="00461A10">
        <w:t xml:space="preserve"> Stromerzeugung </w:t>
      </w:r>
      <w:r>
        <w:t xml:space="preserve">und </w:t>
      </w:r>
      <w:r>
        <w:t>-</w:t>
      </w:r>
      <w:r w:rsidRPr="00461A10">
        <w:t>verbrauch</w:t>
      </w:r>
      <w:r w:rsidR="004350D5">
        <w:t xml:space="preserve"> </w:t>
      </w:r>
      <w:r w:rsidRPr="00461A10">
        <w:t>zu jedem Zeitpunkt</w:t>
      </w:r>
      <w:r w:rsidR="004350D5">
        <w:t xml:space="preserve"> gehalten werden muss</w:t>
      </w:r>
      <w:r>
        <w:t>, ist</w:t>
      </w:r>
      <w:r w:rsidRPr="00461A10">
        <w:t xml:space="preserve"> die Modellierung und Vorhersage d</w:t>
      </w:r>
      <w:r>
        <w:t>er Stromerzeugung aus</w:t>
      </w:r>
      <w:r w:rsidRPr="00461A10">
        <w:t xml:space="preserve"> dargebotsabhängigen Erneuerbaren Energien (EE)</w:t>
      </w:r>
      <w:r>
        <w:t xml:space="preserve"> </w:t>
      </w:r>
      <w:proofErr w:type="gramStart"/>
      <w:r>
        <w:t>essen</w:t>
      </w:r>
      <w:r>
        <w:t>t</w:t>
      </w:r>
      <w:r>
        <w:t>iell</w:t>
      </w:r>
      <w:proofErr w:type="gramEnd"/>
      <w:r w:rsidR="004350D5">
        <w:t xml:space="preserve"> für eine</w:t>
      </w:r>
      <w:r w:rsidR="005604A4">
        <w:t>n</w:t>
      </w:r>
      <w:r w:rsidR="004350D5">
        <w:t xml:space="preserve"> stabilen Betrieb des Elektrizitätsversorgungs</w:t>
      </w:r>
      <w:r w:rsidR="00615554">
        <w:t>s</w:t>
      </w:r>
      <w:r w:rsidR="004350D5">
        <w:t>ystems</w:t>
      </w:r>
      <w:r w:rsidRPr="00461A10">
        <w:t>.</w:t>
      </w:r>
      <w:r>
        <w:t xml:space="preserve"> </w:t>
      </w:r>
      <w:r w:rsidRPr="004808A1">
        <w:t xml:space="preserve">Für diese Prognosen können verschiedene Modelle </w:t>
      </w:r>
      <w:r w:rsidR="004350D5">
        <w:t>verwendet werden</w:t>
      </w:r>
      <w:r w:rsidRPr="004808A1">
        <w:t xml:space="preserve">, </w:t>
      </w:r>
      <w:r w:rsidR="004350D5">
        <w:t>welche</w:t>
      </w:r>
      <w:r w:rsidRPr="004808A1">
        <w:t xml:space="preserve"> sich </w:t>
      </w:r>
      <w:r w:rsidR="00615554">
        <w:t>i</w:t>
      </w:r>
      <w:r>
        <w:t xml:space="preserve">n der </w:t>
      </w:r>
      <w:r w:rsidR="004350D5">
        <w:t xml:space="preserve">räumlichen und zeitlichen </w:t>
      </w:r>
      <w:r>
        <w:t>Auflösung der Eingangsdaten sowie im Modell</w:t>
      </w:r>
      <w:r w:rsidR="004350D5">
        <w:t>ierungs</w:t>
      </w:r>
      <w:r>
        <w:t xml:space="preserve">ansatz unterscheiden. </w:t>
      </w:r>
      <w:r w:rsidR="0090109D">
        <w:t>Hierbei untersuchen</w:t>
      </w:r>
      <w:r>
        <w:t xml:space="preserve"> wir den Einfluss hochaufgelöster Eingangsdaten sowie verschiedener Modellansätze und entwickeln einen hybriden Modellierungsansatz, </w:t>
      </w:r>
      <w:r w:rsidR="004350D5">
        <w:t>welcher</w:t>
      </w:r>
      <w:r>
        <w:t xml:space="preserve"> die Vorteile </w:t>
      </w:r>
      <w:r w:rsidR="004350D5">
        <w:t>mehrerer</w:t>
      </w:r>
      <w:r>
        <w:t xml:space="preserve"> Modelle kombiniert.</w:t>
      </w:r>
    </w:p>
    <w:p w14:paraId="2252C0EB" w14:textId="77777777" w:rsidR="009A51CC" w:rsidRPr="005E4D4F" w:rsidRDefault="009A51CC" w:rsidP="00227125"/>
    <w:p w14:paraId="5782223A" w14:textId="1399EF64" w:rsidR="00704FED" w:rsidRDefault="005E4D4F" w:rsidP="004350D5">
      <w:pPr>
        <w:pStyle w:val="Ueberschrift"/>
      </w:pPr>
      <w:r w:rsidRPr="005E4D4F">
        <w:t>Methodische Vorgangsweise</w:t>
      </w:r>
    </w:p>
    <w:p w14:paraId="6E621A63" w14:textId="6BF19EBE" w:rsidR="005E4D4F" w:rsidRDefault="00516AE4" w:rsidP="00227125">
      <w:r>
        <w:t>Prognosemodelle</w:t>
      </w:r>
      <w:r w:rsidR="00F86C29">
        <w:t xml:space="preserve"> für </w:t>
      </w:r>
      <w:r w:rsidR="00D4323B">
        <w:t>EE-</w:t>
      </w:r>
      <w:r w:rsidR="00F86C29">
        <w:t xml:space="preserve">Einspeisezeitreihen sind </w:t>
      </w:r>
      <w:r w:rsidR="00606F0B">
        <w:t>wegen</w:t>
      </w:r>
      <w:r w:rsidR="00F86C29">
        <w:t xml:space="preserve"> der zentralen Rolle dieser Energiequellen für den Pfad zu einem klimaneutralen</w:t>
      </w:r>
      <w:r w:rsidR="009A51CC">
        <w:t xml:space="preserve"> </w:t>
      </w:r>
      <w:r w:rsidR="00606F0B">
        <w:t>Energie</w:t>
      </w:r>
      <w:r w:rsidR="00F86C29">
        <w:t>system fundamental für die</w:t>
      </w:r>
      <w:r w:rsidR="00606F0B">
        <w:t xml:space="preserve"> langfristige</w:t>
      </w:r>
      <w:r w:rsidR="00F86C29">
        <w:t xml:space="preserve"> </w:t>
      </w:r>
      <w:r w:rsidR="00606F0B">
        <w:t>Untersuchung</w:t>
      </w:r>
      <w:r w:rsidR="00F86C29">
        <w:t xml:space="preserve"> </w:t>
      </w:r>
      <w:r w:rsidR="00606F0B">
        <w:t>der Zuverlässigkeit des</w:t>
      </w:r>
      <w:r w:rsidR="00F86C29">
        <w:t xml:space="preserve"> </w:t>
      </w:r>
      <w:r w:rsidR="009A51CC">
        <w:t>Strom</w:t>
      </w:r>
      <w:r w:rsidR="00F86C29">
        <w:t>systems.</w:t>
      </w:r>
      <w:r w:rsidR="00606F0B">
        <w:t xml:space="preserve"> Aufgrund </w:t>
      </w:r>
      <w:r w:rsidR="009A51CC">
        <w:t>der</w:t>
      </w:r>
      <w:r w:rsidR="00606F0B">
        <w:t xml:space="preserve"> Fähigkeit, nichtlineare Zusammenhänge </w:t>
      </w:r>
      <w:r w:rsidR="00D06A25">
        <w:t xml:space="preserve">zwischen Modelleingangs- und </w:t>
      </w:r>
      <w:r w:rsidR="009A51CC">
        <w:t>-a</w:t>
      </w:r>
      <w:r w:rsidR="00D06A25">
        <w:t xml:space="preserve">usgangsdaten </w:t>
      </w:r>
      <w:r w:rsidR="00606F0B">
        <w:t>abzubilden</w:t>
      </w:r>
      <w:r w:rsidR="00D06A25">
        <w:t xml:space="preserve"> [</w:t>
      </w:r>
      <w:r w:rsidR="00D86198">
        <w:t>3</w:t>
      </w:r>
      <w:r w:rsidR="00D06A25">
        <w:t>]</w:t>
      </w:r>
      <w:r w:rsidR="00606F0B">
        <w:t xml:space="preserve">, </w:t>
      </w:r>
      <w:r w:rsidR="00E549E0">
        <w:t>wird</w:t>
      </w:r>
      <w:r w:rsidR="00D06A25">
        <w:t xml:space="preserve"> ein</w:t>
      </w:r>
      <w:r w:rsidR="00BB255B">
        <w:t xml:space="preserve"> künstliches</w:t>
      </w:r>
      <w:r w:rsidR="00D06A25">
        <w:t xml:space="preserve"> neuronales Netz </w:t>
      </w:r>
      <w:r w:rsidR="00EF0D17">
        <w:t>für die</w:t>
      </w:r>
      <w:r w:rsidR="00D06A25">
        <w:t xml:space="preserve"> Zeitreihenvorhersage</w:t>
      </w:r>
      <w:r w:rsidR="00E549E0">
        <w:t xml:space="preserve"> implementiert</w:t>
      </w:r>
      <w:r w:rsidR="00D06A25">
        <w:t>.</w:t>
      </w:r>
      <w:r w:rsidR="00E549E0">
        <w:t xml:space="preserve"> In der Regel werden solche</w:t>
      </w:r>
      <w:r w:rsidR="00D06A25">
        <w:t xml:space="preserve"> KI-basierte</w:t>
      </w:r>
      <w:r w:rsidR="00E549E0">
        <w:t>n</w:t>
      </w:r>
      <w:r w:rsidR="00D06A25">
        <w:t xml:space="preserve"> Prognosemodelle auf historischen Einspeisedaten trainiert</w:t>
      </w:r>
      <w:r w:rsidR="00E549E0">
        <w:t xml:space="preserve">. </w:t>
      </w:r>
      <w:r w:rsidR="00F936EB">
        <w:t xml:space="preserve">Für die </w:t>
      </w:r>
      <w:r w:rsidR="00EF0D17">
        <w:t>Versorgungssicherheitsbewertung</w:t>
      </w:r>
      <w:r w:rsidR="00F936EB">
        <w:t xml:space="preserve"> ist dabei die </w:t>
      </w:r>
      <w:proofErr w:type="gramStart"/>
      <w:r w:rsidR="00F936EB">
        <w:t>potentiell</w:t>
      </w:r>
      <w:proofErr w:type="gramEnd"/>
      <w:r w:rsidR="00F936EB">
        <w:t xml:space="preserve"> zur Verfügung stehende Einspeiseleistung </w:t>
      </w:r>
      <w:r w:rsidR="003A70A0">
        <w:t>maßgeblich</w:t>
      </w:r>
      <w:r w:rsidR="00F936EB">
        <w:t xml:space="preserve">. Die historischen Einspeisezeitreihen sind neben anlagenbezogenen Faktoren </w:t>
      </w:r>
      <w:r w:rsidR="00E64846">
        <w:t xml:space="preserve">jedoch </w:t>
      </w:r>
      <w:r w:rsidR="003A70A0">
        <w:t>auch</w:t>
      </w:r>
      <w:r w:rsidR="00F936EB">
        <w:t xml:space="preserve"> von netz- bzw. lastseitigen </w:t>
      </w:r>
      <w:r w:rsidR="003A70A0">
        <w:t>Einflüssen</w:t>
      </w:r>
      <w:r w:rsidR="00BB255B">
        <w:t xml:space="preserve"> abhängig, da bspw. abgeregelte Mengen aufgrund von Redispatch</w:t>
      </w:r>
      <w:r w:rsidR="003A70A0">
        <w:t>maßnahmen</w:t>
      </w:r>
      <w:r w:rsidR="00BB255B">
        <w:t xml:space="preserve"> oder Einspeisemanagement in den Daten bereits </w:t>
      </w:r>
      <w:r w:rsidR="003A70A0">
        <w:t>enthalten</w:t>
      </w:r>
      <w:r w:rsidR="00BB255B">
        <w:t xml:space="preserve"> sind. </w:t>
      </w:r>
      <w:r w:rsidR="00E64846">
        <w:t xml:space="preserve">Im Hinblick auf die </w:t>
      </w:r>
      <w:r w:rsidR="00EF0D17">
        <w:t>Bewertung der Versorgungssicherheit</w:t>
      </w:r>
      <w:r w:rsidR="00E64846">
        <w:t xml:space="preserve"> sind diese </w:t>
      </w:r>
      <w:r w:rsidR="003A70A0">
        <w:t xml:space="preserve">Faktoren </w:t>
      </w:r>
      <w:r w:rsidR="00E64846">
        <w:t xml:space="preserve">Teil der probabilistischen Energiesystemmodellierung. Insbesondere bei langfristigen Prognosen werden bei Verwendung der historischen Einspeisedaten Veränderungen der Netzinfrastruktur </w:t>
      </w:r>
      <w:r w:rsidR="00DC36CE">
        <w:t xml:space="preserve">sowie die Einbindung </w:t>
      </w:r>
      <w:r w:rsidR="0077593E">
        <w:t xml:space="preserve">erzeugungs- und </w:t>
      </w:r>
      <w:r w:rsidR="00DC36CE">
        <w:t xml:space="preserve">lastseitiger Flexibilitäten nicht adäquat </w:t>
      </w:r>
      <w:r w:rsidR="003A70A0">
        <w:t>miteinbezogen</w:t>
      </w:r>
      <w:r w:rsidR="00DC36CE">
        <w:t>.</w:t>
      </w:r>
    </w:p>
    <w:p w14:paraId="42C9BC29" w14:textId="77777777" w:rsidR="00383EDE" w:rsidRPr="00E97292" w:rsidRDefault="00383EDE" w:rsidP="00227125">
      <w:pPr>
        <w:rPr>
          <w:szCs w:val="20"/>
        </w:rPr>
      </w:pPr>
    </w:p>
    <w:p w14:paraId="449B4BD7" w14:textId="33C8D172" w:rsidR="005E4D4F" w:rsidRDefault="004350D5" w:rsidP="00227125">
      <w:r>
        <w:t xml:space="preserve">Daher schlagen wir eine Methodik vor, welche auf Basis von analytischen </w:t>
      </w:r>
      <w:r w:rsidRPr="00450805">
        <w:rPr>
          <w:lang w:val="en-CA"/>
        </w:rPr>
        <w:t>Bottom-</w:t>
      </w:r>
      <w:r w:rsidRPr="00450805">
        <w:rPr>
          <w:lang w:val="en-CA"/>
        </w:rPr>
        <w:t>u</w:t>
      </w:r>
      <w:r w:rsidRPr="00450805">
        <w:rPr>
          <w:lang w:val="en-CA"/>
        </w:rPr>
        <w:t>p</w:t>
      </w:r>
      <w:r>
        <w:t xml:space="preserve"> Modellen sowie historischen Abregelungsmengen und Zeitreihendaten eine modifizierte Zeitreihe erstellt. Auf Grundlage dieser modifizierten Zeitreihe sowie disaggregierter</w:t>
      </w:r>
      <w:r w:rsidRPr="00DE3A05">
        <w:t xml:space="preserve"> Wetter- und Kraftwerksdaten</w:t>
      </w:r>
      <w:r>
        <w:t xml:space="preserve"> wird anschließend e</w:t>
      </w:r>
      <w:r w:rsidRPr="00DE3A05">
        <w:t xml:space="preserve">in </w:t>
      </w:r>
      <w:r>
        <w:t xml:space="preserve">künstliches </w:t>
      </w:r>
      <w:r w:rsidRPr="00DE3A05">
        <w:t>neuronales Netz</w:t>
      </w:r>
      <w:r w:rsidR="002B0A00">
        <w:t xml:space="preserve"> für die Zeitreihenvorhersage</w:t>
      </w:r>
      <w:r w:rsidRPr="00DE3A05">
        <w:t xml:space="preserve"> trainiert.</w:t>
      </w:r>
    </w:p>
    <w:p w14:paraId="3A17D3DD" w14:textId="3F2789C5" w:rsidR="00CA73BE" w:rsidRDefault="00CA73BE" w:rsidP="00227125"/>
    <w:p w14:paraId="6ADD2527" w14:textId="77777777" w:rsidR="00CA73BE" w:rsidRDefault="00CA73BE" w:rsidP="00227125"/>
    <w:p w14:paraId="14B95358" w14:textId="77777777" w:rsidR="005E4D4F" w:rsidRPr="005E4D4F" w:rsidRDefault="005E4D4F" w:rsidP="005E4D4F">
      <w:pPr>
        <w:pStyle w:val="Ueberschrift"/>
      </w:pPr>
      <w:r w:rsidRPr="005E4D4F">
        <w:lastRenderedPageBreak/>
        <w:t>Ergebnisse und Schlussfolgerungen</w:t>
      </w:r>
    </w:p>
    <w:p w14:paraId="53730162" w14:textId="013F66E4" w:rsidR="005E4D4F" w:rsidRDefault="00470213" w:rsidP="00227125">
      <w:r w:rsidRPr="00470213">
        <w:t xml:space="preserve">Zur Vorhersage </w:t>
      </w:r>
      <w:r>
        <w:t>der</w:t>
      </w:r>
      <w:r w:rsidRPr="00470213">
        <w:t xml:space="preserve"> modifizierten Zeitreihe</w:t>
      </w:r>
      <w:r w:rsidR="00BE64C8">
        <w:t>n</w:t>
      </w:r>
      <w:r w:rsidRPr="00470213">
        <w:t xml:space="preserve"> wurde</w:t>
      </w:r>
      <w:r w:rsidR="00E71122">
        <w:t xml:space="preserve"> für die drei variablen erneuerbaren Energiequellen </w:t>
      </w:r>
      <w:r w:rsidR="00E71122" w:rsidRPr="00450805">
        <w:rPr>
          <w:lang w:val="en-CA"/>
        </w:rPr>
        <w:t xml:space="preserve">Wind </w:t>
      </w:r>
      <w:r w:rsidR="00BE64C8" w:rsidRPr="00450805">
        <w:rPr>
          <w:lang w:val="en-CA"/>
        </w:rPr>
        <w:t>O</w:t>
      </w:r>
      <w:r w:rsidR="00E71122" w:rsidRPr="00450805">
        <w:rPr>
          <w:lang w:val="en-CA"/>
        </w:rPr>
        <w:t>nshore</w:t>
      </w:r>
      <w:r w:rsidR="00E71122">
        <w:t xml:space="preserve">, </w:t>
      </w:r>
      <w:r w:rsidR="00E71122" w:rsidRPr="00450805">
        <w:rPr>
          <w:lang w:val="en-CA"/>
        </w:rPr>
        <w:t xml:space="preserve">Wind </w:t>
      </w:r>
      <w:r w:rsidR="00BE64C8" w:rsidRPr="00450805">
        <w:rPr>
          <w:lang w:val="en-CA"/>
        </w:rPr>
        <w:t>O</w:t>
      </w:r>
      <w:r w:rsidR="00E71122" w:rsidRPr="00450805">
        <w:rPr>
          <w:lang w:val="en-CA"/>
        </w:rPr>
        <w:t>ffshore</w:t>
      </w:r>
      <w:r w:rsidR="00E71122">
        <w:t xml:space="preserve"> und </w:t>
      </w:r>
      <w:r w:rsidR="00E71122" w:rsidRPr="009A51CC">
        <w:t>Photovoltaik</w:t>
      </w:r>
      <w:r w:rsidR="00E71122">
        <w:t xml:space="preserve"> (PV) jeweils ein</w:t>
      </w:r>
      <w:r w:rsidRPr="00470213">
        <w:t xml:space="preserve"> </w:t>
      </w:r>
      <w:r w:rsidR="00E71122">
        <w:t>künstliches</w:t>
      </w:r>
      <w:r w:rsidRPr="00470213">
        <w:t xml:space="preserve"> neuronale</w:t>
      </w:r>
      <w:r w:rsidR="00E71122">
        <w:t>s</w:t>
      </w:r>
      <w:r w:rsidRPr="00470213">
        <w:t xml:space="preserve"> Netz in Form einer Kombination aus einem </w:t>
      </w:r>
      <w:r w:rsidRPr="00450805">
        <w:rPr>
          <w:lang w:val="en-CA"/>
        </w:rPr>
        <w:t>Convolutional Neural Network (CNN)</w:t>
      </w:r>
      <w:r w:rsidRPr="00470213">
        <w:t xml:space="preserve"> sowie einem Feed-Forward Network (</w:t>
      </w:r>
      <w:r w:rsidRPr="00450805">
        <w:rPr>
          <w:lang w:val="en-CA"/>
        </w:rPr>
        <w:t>Multilayer Perceptron, MLP</w:t>
      </w:r>
      <w:r w:rsidRPr="00470213">
        <w:t>) verwendet. Die jeweiligen</w:t>
      </w:r>
      <w:r w:rsidR="00BA123A">
        <w:t xml:space="preserve"> künstlichen</w:t>
      </w:r>
      <w:r w:rsidRPr="00470213">
        <w:t xml:space="preserve"> neuronalen Netze für die einzelnen Technologien wurden </w:t>
      </w:r>
      <w:r w:rsidR="00324779">
        <w:t>mit einem Trainings- und Validierungsdatensatz der</w:t>
      </w:r>
      <w:r w:rsidRPr="00470213">
        <w:t xml:space="preserve"> modifizierten Zeitreihen</w:t>
      </w:r>
      <w:r w:rsidR="000E43AD">
        <w:t xml:space="preserve"> für die Jahre 2015-2020</w:t>
      </w:r>
      <w:r w:rsidRPr="00470213">
        <w:t xml:space="preserve"> trainiert </w:t>
      </w:r>
      <w:r w:rsidR="009A51CC">
        <w:t>und validiert sowie</w:t>
      </w:r>
      <w:r w:rsidRPr="00470213">
        <w:t xml:space="preserve"> anhand verschiedener Metriken bewertet.</w:t>
      </w:r>
      <w:r w:rsidR="00BA123A">
        <w:t xml:space="preserve"> </w:t>
      </w:r>
      <w:r w:rsidR="00E71122" w:rsidRPr="00E71122">
        <w:t xml:space="preserve">Das Jahr 2021 wurde als unabhängiger Testdatensatz verwendet. Hier </w:t>
      </w:r>
      <w:r w:rsidR="00BA123A">
        <w:t>wurde</w:t>
      </w:r>
      <w:r w:rsidR="00E71122" w:rsidRPr="00E71122">
        <w:t xml:space="preserve"> ein R</w:t>
      </w:r>
      <w:r w:rsidR="00E71122" w:rsidRPr="00BA123A">
        <w:rPr>
          <w:vertAlign w:val="superscript"/>
        </w:rPr>
        <w:t>2</w:t>
      </w:r>
      <w:r w:rsidR="00E71122" w:rsidRPr="00E71122">
        <w:t xml:space="preserve"> von 0,96 für den </w:t>
      </w:r>
      <w:r w:rsidR="00E71122" w:rsidRPr="00450805">
        <w:rPr>
          <w:lang w:val="en-CA"/>
        </w:rPr>
        <w:t>Onshore</w:t>
      </w:r>
      <w:r w:rsidR="00E71122" w:rsidRPr="00E71122">
        <w:t>-Wind-Datensatz, 0,88 für den Offshore-Wind-Datensatz und 0,96 für den PV-Datensatz erreicht.</w:t>
      </w:r>
      <w:r w:rsidR="00BA123A">
        <w:t xml:space="preserve"> Abbildung 1 zeigt</w:t>
      </w:r>
      <w:r w:rsidR="008C35AF">
        <w:t xml:space="preserve"> beispielhaft</w:t>
      </w:r>
      <w:r w:rsidR="00BA123A">
        <w:t xml:space="preserve"> die prognostizierte </w:t>
      </w:r>
      <w:r w:rsidR="00BA123A" w:rsidRPr="00450805">
        <w:rPr>
          <w:lang w:val="en-CA"/>
        </w:rPr>
        <w:t>Onshore</w:t>
      </w:r>
      <w:r w:rsidR="00BA123A">
        <w:t>-Windkraft-Zeitreihe für die Monate Januar bis März des Testdatensatzes</w:t>
      </w:r>
      <w:r w:rsidR="008C35AF">
        <w:t xml:space="preserve"> 2021</w:t>
      </w:r>
      <w:r w:rsidR="00BA123A">
        <w:t>.</w:t>
      </w:r>
    </w:p>
    <w:p w14:paraId="2A8AE2E6" w14:textId="77777777" w:rsidR="008C35AF" w:rsidRPr="00E97292" w:rsidRDefault="008C35AF" w:rsidP="00227125">
      <w:pPr>
        <w:rPr>
          <w:szCs w:val="20"/>
        </w:rPr>
      </w:pPr>
    </w:p>
    <w:p w14:paraId="7E08E6D0" w14:textId="772EF842" w:rsidR="00803917" w:rsidRDefault="00383EDE" w:rsidP="00281530">
      <w:pPr>
        <w:jc w:val="center"/>
      </w:pPr>
      <w:r w:rsidRPr="00383EDE">
        <w:drawing>
          <wp:inline distT="0" distB="0" distL="0" distR="0" wp14:anchorId="77867C94" wp14:editId="7688A9F5">
            <wp:extent cx="5760720" cy="256286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60720" cy="2562860"/>
                    </a:xfrm>
                    <a:prstGeom prst="rect">
                      <a:avLst/>
                    </a:prstGeom>
                    <a:noFill/>
                    <a:ln>
                      <a:noFill/>
                    </a:ln>
                  </pic:spPr>
                </pic:pic>
              </a:graphicData>
            </a:graphic>
          </wp:inline>
        </w:drawing>
      </w:r>
    </w:p>
    <w:p w14:paraId="368BAE14" w14:textId="67915CA6" w:rsidR="00803917" w:rsidRPr="002946B8" w:rsidRDefault="00803917" w:rsidP="00D53E86">
      <w:pPr>
        <w:pStyle w:val="Abbildungsbeschriftung"/>
      </w:pPr>
      <w:r w:rsidRPr="002946B8">
        <w:t xml:space="preserve">Abbildung 1: </w:t>
      </w:r>
      <w:r w:rsidR="00281530" w:rsidRPr="00281530">
        <w:t xml:space="preserve">Prognostizierte </w:t>
      </w:r>
      <w:r w:rsidR="00281530" w:rsidRPr="00450805">
        <w:rPr>
          <w:lang w:val="en-CA"/>
        </w:rPr>
        <w:t>Onshore</w:t>
      </w:r>
      <w:r w:rsidR="00281530" w:rsidRPr="00281530">
        <w:t>-Windkraft-Zeitreihen</w:t>
      </w:r>
      <w:r w:rsidR="00091C25">
        <w:t xml:space="preserve"> für den Testdatensatz</w:t>
      </w:r>
      <w:r w:rsidR="008C35AF">
        <w:t xml:space="preserve"> 2021</w:t>
      </w:r>
    </w:p>
    <w:p w14:paraId="27A1FA20" w14:textId="6F21FA97" w:rsidR="002946B8" w:rsidRDefault="002946B8" w:rsidP="00227125"/>
    <w:p w14:paraId="627DCAF9" w14:textId="40A37843" w:rsidR="00324779" w:rsidRDefault="00324779" w:rsidP="00BA123A">
      <w:r>
        <w:t xml:space="preserve">Für eine kontinuierliche Verbesserung der Prognosequalität der entwickelten neuronalen Netze wird ein Umlernen auf Basis eines erweiterten Datensatzes vorgeschlagen. Um diese Verbesserung beispielhaft zu zeigen, wurde </w:t>
      </w:r>
      <w:r w:rsidR="00BA123A" w:rsidRPr="00E71122">
        <w:t>die entsprechende Architektur auf den</w:t>
      </w:r>
      <w:r>
        <w:t xml:space="preserve"> um das Jahr 2021 erweiterten</w:t>
      </w:r>
      <w:r w:rsidR="00BA123A" w:rsidRPr="00E71122">
        <w:t xml:space="preserve"> </w:t>
      </w:r>
      <w:r w:rsidR="00BA123A" w:rsidRPr="00450805">
        <w:rPr>
          <w:lang w:val="en-CA"/>
        </w:rPr>
        <w:t>Onshore</w:t>
      </w:r>
      <w:r w:rsidR="00BA123A" w:rsidRPr="00E71122">
        <w:t>-Wind</w:t>
      </w:r>
      <w:r w:rsidR="009A51CC">
        <w:t>-D</w:t>
      </w:r>
      <w:r w:rsidR="00BA123A" w:rsidRPr="00E71122">
        <w:t xml:space="preserve">atensatz trainiert. </w:t>
      </w:r>
      <w:r>
        <w:t>Beide Modelle wurden anschließend a</w:t>
      </w:r>
      <w:r w:rsidRPr="00E71122">
        <w:t xml:space="preserve">nhand eines zweiten Testdatensatzes, </w:t>
      </w:r>
      <w:r w:rsidR="00383EDE">
        <w:t>welcher</w:t>
      </w:r>
      <w:r w:rsidRPr="00E71122">
        <w:t xml:space="preserve"> Wetterdaten vom Januar 2022 enthielt, </w:t>
      </w:r>
      <w:r>
        <w:t xml:space="preserve">evaluiert. </w:t>
      </w:r>
      <w:r w:rsidR="00BA123A" w:rsidRPr="00E71122">
        <w:t xml:space="preserve">Die daraus resultierende Verbesserung der </w:t>
      </w:r>
      <w:r w:rsidR="00BA123A">
        <w:t>Prognose</w:t>
      </w:r>
      <w:r w:rsidR="00BA123A" w:rsidRPr="00E71122">
        <w:t xml:space="preserve">qualität </w:t>
      </w:r>
      <w:r w:rsidR="00BA123A">
        <w:t>zeigt</w:t>
      </w:r>
      <w:r w:rsidR="00BA123A" w:rsidRPr="00E71122">
        <w:t xml:space="preserve"> </w:t>
      </w:r>
      <w:r w:rsidR="00BA123A">
        <w:t>der</w:t>
      </w:r>
      <w:r w:rsidR="00BA123A" w:rsidRPr="00E71122">
        <w:t xml:space="preserve"> </w:t>
      </w:r>
      <w:proofErr w:type="spellStart"/>
      <w:r w:rsidR="009A51CC" w:rsidRPr="00E97292">
        <w:t>Weighted</w:t>
      </w:r>
      <w:proofErr w:type="spellEnd"/>
      <w:r w:rsidR="009A51CC" w:rsidRPr="00E97292">
        <w:t xml:space="preserve"> Absolute </w:t>
      </w:r>
      <w:proofErr w:type="spellStart"/>
      <w:r w:rsidR="009A51CC" w:rsidRPr="00E97292">
        <w:t>Percentage</w:t>
      </w:r>
      <w:proofErr w:type="spellEnd"/>
      <w:r w:rsidR="009A51CC" w:rsidRPr="00E97292">
        <w:t xml:space="preserve"> Error</w:t>
      </w:r>
      <w:r w:rsidR="009A51CC" w:rsidRPr="009A51CC">
        <w:t xml:space="preserve"> (WAPE)</w:t>
      </w:r>
      <w:r w:rsidR="00BA123A" w:rsidRPr="009A51CC">
        <w:t>:</w:t>
      </w:r>
      <w:r w:rsidR="00BA123A" w:rsidRPr="00E71122">
        <w:t xml:space="preserve"> Das Modell ohne zusätzliches Training auf das Jahr 2021 erreichte </w:t>
      </w:r>
      <w:r w:rsidR="00383EDE">
        <w:t xml:space="preserve">bei der Metrik </w:t>
      </w:r>
      <w:r w:rsidR="00BA123A" w:rsidRPr="00E71122">
        <w:t xml:space="preserve">8,03 %, das </w:t>
      </w:r>
      <w:r w:rsidR="00BA123A">
        <w:t>weiter</w:t>
      </w:r>
      <w:r w:rsidR="00BA123A" w:rsidRPr="00E71122">
        <w:t>trainierte Modell erreichte 7,58 %.</w:t>
      </w:r>
    </w:p>
    <w:p w14:paraId="212311DD" w14:textId="77777777" w:rsidR="00324779" w:rsidRPr="00E97292" w:rsidRDefault="00324779" w:rsidP="00BA123A">
      <w:pPr>
        <w:rPr>
          <w:szCs w:val="20"/>
        </w:rPr>
      </w:pPr>
    </w:p>
    <w:p w14:paraId="0603195F" w14:textId="696D0E48" w:rsidR="00BA123A" w:rsidRDefault="00BA123A" w:rsidP="00227125">
      <w:r>
        <w:t>Die Ergebnisse zeigen</w:t>
      </w:r>
      <w:r w:rsidRPr="00230E99">
        <w:t xml:space="preserve">, dass die modifizierten </w:t>
      </w:r>
      <w:r w:rsidR="008C35AF">
        <w:t>Einspeisez</w:t>
      </w:r>
      <w:r w:rsidRPr="00230E99">
        <w:t>eitreihen durch die entwickelten</w:t>
      </w:r>
      <w:r w:rsidR="00324779">
        <w:t xml:space="preserve"> neuronalen </w:t>
      </w:r>
      <w:r w:rsidRPr="00230E99">
        <w:t>Netze vorhergesagt werden können.</w:t>
      </w:r>
      <w:r w:rsidR="00324779">
        <w:t xml:space="preserve"> </w:t>
      </w:r>
      <w:r w:rsidRPr="00DE3A05">
        <w:t xml:space="preserve">Darüber hinaus wird ein Unterschied in der Simulation mit disaggregierten Daten und aggregierten Daten demonstriert, der je nach simulierter Technologie und meteorologischen Bedingungen unterschiedliche Ergebnisse zeigt. Insgesamt zeigt die Methodik einen vielversprechenden Ansatz, um zukünftige Veränderungen im Energiesystem im Hinblick auf die Einspeisung von </w:t>
      </w:r>
      <w:r w:rsidR="00324779">
        <w:t xml:space="preserve">fluktuierenden </w:t>
      </w:r>
      <w:r w:rsidRPr="00DE3A05">
        <w:t xml:space="preserve">erneuerbaren Energien </w:t>
      </w:r>
      <w:r w:rsidR="00324779">
        <w:t xml:space="preserve">in der Versorgungssicherheitsbewertung adäquat berücksichtigen </w:t>
      </w:r>
      <w:r w:rsidRPr="00DE3A05">
        <w:t xml:space="preserve">zu </w:t>
      </w:r>
      <w:r w:rsidR="00324779">
        <w:t>können</w:t>
      </w:r>
      <w:r w:rsidRPr="00DE3A05">
        <w:t>.</w:t>
      </w:r>
    </w:p>
    <w:p w14:paraId="17C9DCD7" w14:textId="77777777" w:rsidR="00CA73BE" w:rsidRDefault="00CA73BE" w:rsidP="00227125"/>
    <w:p w14:paraId="0C0574B2" w14:textId="77777777" w:rsidR="005E4D4F" w:rsidRPr="00D300BF" w:rsidRDefault="005E4D4F" w:rsidP="00A156E4">
      <w:pPr>
        <w:pStyle w:val="Ueberschrift"/>
        <w:rPr>
          <w:lang w:val="en-US"/>
        </w:rPr>
      </w:pPr>
      <w:bookmarkStart w:id="0" w:name="_Toc26086066"/>
      <w:bookmarkStart w:id="1" w:name="_Toc68418491"/>
      <w:r w:rsidRPr="00450805">
        <w:t>Literatur</w:t>
      </w:r>
      <w:bookmarkEnd w:id="0"/>
      <w:bookmarkEnd w:id="1"/>
    </w:p>
    <w:p w14:paraId="51AF6BDA" w14:textId="57DA8E6C" w:rsidR="001B1F7C" w:rsidRPr="001B1F7C" w:rsidRDefault="001B1F7C" w:rsidP="00BB255B">
      <w:pPr>
        <w:pStyle w:val="Literatur"/>
        <w:rPr>
          <w:lang w:val="en-US"/>
        </w:rPr>
      </w:pPr>
      <w:r w:rsidRPr="00D300BF">
        <w:t>[1] Priesmann, J., Münch, J., Ridha, E., Spiegel, T., Reich, M., Adam, M., Nolting, L., Praktiknjo, A.</w:t>
      </w:r>
      <w:r w:rsidR="00D300BF" w:rsidRPr="00D300BF">
        <w:t xml:space="preserve"> (2021).</w:t>
      </w:r>
      <w:r w:rsidRPr="00D300BF">
        <w:t xml:space="preserve"> </w:t>
      </w:r>
      <w:r w:rsidRPr="00D300BF">
        <w:rPr>
          <w:lang w:val="en-US"/>
        </w:rPr>
        <w:t>Artificial Intelligence and Design of Experiments for Assessing Security of Electricity Supply: A Review and Strategic Outlook.</w:t>
      </w:r>
      <w:r>
        <w:rPr>
          <w:lang w:val="en-US"/>
        </w:rPr>
        <w:t xml:space="preserve"> </w:t>
      </w:r>
      <w:r w:rsidRPr="001B1F7C">
        <w:rPr>
          <w:lang w:val="en-US"/>
        </w:rPr>
        <w:t>CoRR abs/2112.04889. PREPRINT (Version 2).</w:t>
      </w:r>
    </w:p>
    <w:p w14:paraId="485A86B0" w14:textId="0A15E913" w:rsidR="005E4D4F" w:rsidRDefault="00483B87" w:rsidP="00BB255B">
      <w:pPr>
        <w:pStyle w:val="Literatur"/>
        <w:rPr>
          <w:lang w:val="en-US"/>
        </w:rPr>
      </w:pPr>
      <w:r w:rsidRPr="00D300BF">
        <w:t>[</w:t>
      </w:r>
      <w:r w:rsidR="001B1F7C" w:rsidRPr="00D300BF">
        <w:t>2</w:t>
      </w:r>
      <w:r w:rsidRPr="00D300BF">
        <w:t>]</w:t>
      </w:r>
      <w:r w:rsidRPr="00D300BF">
        <w:tab/>
      </w:r>
      <w:r w:rsidR="00BB255B" w:rsidRPr="00D300BF">
        <w:t>Nolting, L., Spiegel, T., Reich, M., Adam, M., Praktiknjo, A.</w:t>
      </w:r>
      <w:r w:rsidR="00D300BF" w:rsidRPr="00D300BF">
        <w:t xml:space="preserve"> (2020).</w:t>
      </w:r>
      <w:r w:rsidR="00BB255B" w:rsidRPr="00D300BF">
        <w:t xml:space="preserve"> </w:t>
      </w:r>
      <w:r w:rsidR="00BB255B" w:rsidRPr="00D300BF">
        <w:rPr>
          <w:lang w:val="en-US"/>
        </w:rPr>
        <w:t>Can energy system modeling benefit from artificial neural networks? Application of two-stage metamodels to reduce computation of security of supply assessments.</w:t>
      </w:r>
      <w:r w:rsidR="00BB255B">
        <w:rPr>
          <w:lang w:val="en-US"/>
        </w:rPr>
        <w:t xml:space="preserve"> </w:t>
      </w:r>
      <w:r w:rsidR="00E64846" w:rsidRPr="00E64846">
        <w:rPr>
          <w:lang w:val="en-US"/>
        </w:rPr>
        <w:t>Computers &amp; Industrial Engineering</w:t>
      </w:r>
      <w:r w:rsidR="00E64846">
        <w:rPr>
          <w:lang w:val="en-US"/>
        </w:rPr>
        <w:t>, 142, 106334.</w:t>
      </w:r>
    </w:p>
    <w:p w14:paraId="53EDE65A" w14:textId="1A570320" w:rsidR="00010E92" w:rsidRPr="00D06A25" w:rsidRDefault="00483B87" w:rsidP="00227125">
      <w:pPr>
        <w:pStyle w:val="Literatur"/>
        <w:rPr>
          <w:lang w:val="en-US"/>
        </w:rPr>
      </w:pPr>
      <w:r w:rsidRPr="00D06A25">
        <w:rPr>
          <w:lang w:val="en-US"/>
        </w:rPr>
        <w:t>[</w:t>
      </w:r>
      <w:r w:rsidR="001B1F7C">
        <w:rPr>
          <w:lang w:val="en-US"/>
        </w:rPr>
        <w:t>3</w:t>
      </w:r>
      <w:r w:rsidRPr="00D06A25">
        <w:rPr>
          <w:lang w:val="en-US"/>
        </w:rPr>
        <w:t>]</w:t>
      </w:r>
      <w:r w:rsidRPr="00D06A25">
        <w:rPr>
          <w:lang w:val="en-US"/>
        </w:rPr>
        <w:tab/>
      </w:r>
      <w:r w:rsidR="00D06A25" w:rsidRPr="00D06A25">
        <w:rPr>
          <w:lang w:val="en-US"/>
        </w:rPr>
        <w:t>Duda, R. O., Hart, P. E., Stork, D. G.</w:t>
      </w:r>
      <w:r w:rsidR="00E97292">
        <w:rPr>
          <w:lang w:val="en-US"/>
        </w:rPr>
        <w:t xml:space="preserve"> (2001).</w:t>
      </w:r>
      <w:r w:rsidR="00E549E0">
        <w:rPr>
          <w:lang w:val="en-US"/>
        </w:rPr>
        <w:t xml:space="preserve"> </w:t>
      </w:r>
      <w:r w:rsidR="00D06A25" w:rsidRPr="00E97292">
        <w:rPr>
          <w:lang w:val="en-US"/>
        </w:rPr>
        <w:t>Pattern Classification</w:t>
      </w:r>
      <w:r w:rsidR="00BB255B">
        <w:rPr>
          <w:lang w:val="en-US"/>
        </w:rPr>
        <w:t>.</w:t>
      </w:r>
      <w:r w:rsidR="00D06A25" w:rsidRPr="00D06A25">
        <w:rPr>
          <w:lang w:val="en-US"/>
        </w:rPr>
        <w:t xml:space="preserve"> </w:t>
      </w:r>
      <w:r w:rsidR="00E549E0">
        <w:rPr>
          <w:lang w:val="en-US"/>
        </w:rPr>
        <w:t xml:space="preserve">2. </w:t>
      </w:r>
      <w:r w:rsidR="00E549E0" w:rsidRPr="00450805">
        <w:t>Auflage</w:t>
      </w:r>
      <w:r w:rsidR="00E549E0">
        <w:rPr>
          <w:lang w:val="en-US"/>
        </w:rPr>
        <w:t xml:space="preserve">, </w:t>
      </w:r>
      <w:r w:rsidR="00E549E0" w:rsidRPr="00E549E0">
        <w:rPr>
          <w:lang w:val="en-US"/>
        </w:rPr>
        <w:t xml:space="preserve">Wiley </w:t>
      </w:r>
      <w:r w:rsidR="00E549E0">
        <w:rPr>
          <w:lang w:val="en-US"/>
        </w:rPr>
        <w:t>Interscience, New York</w:t>
      </w:r>
      <w:r w:rsidR="00E549E0" w:rsidRPr="00E549E0">
        <w:rPr>
          <w:lang w:val="en-US"/>
        </w:rPr>
        <w:t>.</w:t>
      </w:r>
    </w:p>
    <w:sectPr w:rsidR="00010E92" w:rsidRPr="00D06A25">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37939B" w14:textId="77777777" w:rsidR="00246933" w:rsidRDefault="00246933">
      <w:r>
        <w:separator/>
      </w:r>
    </w:p>
  </w:endnote>
  <w:endnote w:type="continuationSeparator" w:id="0">
    <w:p w14:paraId="5A7F8DD2" w14:textId="77777777" w:rsidR="00246933" w:rsidRDefault="002469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0F94D2" w14:textId="77777777" w:rsidR="00246933" w:rsidRDefault="00246933">
      <w:r>
        <w:separator/>
      </w:r>
    </w:p>
  </w:footnote>
  <w:footnote w:type="continuationSeparator" w:id="0">
    <w:p w14:paraId="46B82825" w14:textId="77777777" w:rsidR="00246933" w:rsidRDefault="00246933">
      <w:r>
        <w:continuationSeparator/>
      </w:r>
    </w:p>
  </w:footnote>
  <w:footnote w:id="1">
    <w:p w14:paraId="1DD27DBA" w14:textId="55C2238B" w:rsidR="00D53E86" w:rsidRPr="00FB69AE" w:rsidRDefault="00D53E86" w:rsidP="002014D3">
      <w:r w:rsidRPr="00A115D2">
        <w:rPr>
          <w:rStyle w:val="Funotenzeichen"/>
        </w:rPr>
        <w:footnoteRef/>
      </w:r>
      <w:r w:rsidRPr="00D53E86">
        <w:t xml:space="preserve"> </w:t>
      </w:r>
      <w:r w:rsidR="00FF7CE6">
        <w:t xml:space="preserve">Jungautor, </w:t>
      </w:r>
      <w:r w:rsidR="00516AE4">
        <w:t>Mathieustraße 10 52074 Aachen Germany</w:t>
      </w:r>
      <w:r w:rsidR="00E520E6">
        <w:t xml:space="preserve">, </w:t>
      </w:r>
      <w:r w:rsidR="00516AE4">
        <w:t>+49 241 80 49873</w:t>
      </w:r>
      <w:r w:rsidR="00A6148D">
        <w:t>,</w:t>
      </w:r>
      <w:r w:rsidR="00FD5D56">
        <w:t xml:space="preserve"> </w:t>
      </w:r>
      <w:proofErr w:type="gramStart"/>
      <w:r w:rsidR="00516AE4">
        <w:t>marius.tillmanns</w:t>
      </w:r>
      <w:proofErr w:type="gramEnd"/>
      <w:r w:rsidR="00516AE4">
        <w:t>@</w:t>
      </w:r>
      <w:r w:rsidR="00FF7CE6">
        <w:t>eonerc.</w:t>
      </w:r>
      <w:r w:rsidR="00FF7CE6">
        <w:br/>
      </w:r>
      <w:r w:rsidR="00516AE4">
        <w:t>rwth-aachen.de</w:t>
      </w:r>
      <w:r>
        <w:t xml:space="preserve">, </w:t>
      </w:r>
      <w:r w:rsidR="00516AE4" w:rsidRPr="00516AE4">
        <w:t>www.eonerc.rwth-aachen.de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D5071F"/>
    <w:multiLevelType w:val="multilevel"/>
    <w:tmpl w:val="0978BA90"/>
    <w:numStyleLink w:val="Aufzhlung"/>
  </w:abstractNum>
  <w:abstractNum w:abstractNumId="1" w15:restartNumberingAfterBreak="0">
    <w:nsid w:val="17567494"/>
    <w:multiLevelType w:val="hybridMultilevel"/>
    <w:tmpl w:val="0978BA90"/>
    <w:lvl w:ilvl="0" w:tplc="085E6674">
      <w:start w:val="1"/>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5D75967"/>
    <w:multiLevelType w:val="multilevel"/>
    <w:tmpl w:val="0978BA90"/>
    <w:numStyleLink w:val="Aufzhlung"/>
  </w:abstractNum>
  <w:abstractNum w:abstractNumId="3" w15:restartNumberingAfterBreak="0">
    <w:nsid w:val="6B5E4F19"/>
    <w:multiLevelType w:val="multilevel"/>
    <w:tmpl w:val="0978BA90"/>
    <w:styleLink w:val="Aufzhlung"/>
    <w:lvl w:ilvl="0">
      <w:start w:val="1"/>
      <w:numFmt w:val="bullet"/>
      <w:lvlText w:val="-"/>
      <w:lvlJc w:val="left"/>
      <w:pPr>
        <w:tabs>
          <w:tab w:val="num" w:pos="720"/>
        </w:tabs>
        <w:ind w:left="720" w:hanging="360"/>
      </w:pPr>
      <w:rPr>
        <w:rFonts w:ascii="Arial" w:hAnsi="Arial" w:cs="Arial"/>
        <w:szCs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253978605">
    <w:abstractNumId w:val="1"/>
  </w:num>
  <w:num w:numId="2" w16cid:durableId="708529995">
    <w:abstractNumId w:val="3"/>
  </w:num>
  <w:num w:numId="3" w16cid:durableId="1030687698">
    <w:abstractNumId w:val="2"/>
  </w:num>
  <w:num w:numId="4" w16cid:durableId="9693647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4D4F"/>
    <w:rsid w:val="00010E92"/>
    <w:rsid w:val="00082970"/>
    <w:rsid w:val="00091C25"/>
    <w:rsid w:val="000E2235"/>
    <w:rsid w:val="000E43AD"/>
    <w:rsid w:val="00134B85"/>
    <w:rsid w:val="001B1F7C"/>
    <w:rsid w:val="001C2575"/>
    <w:rsid w:val="001C6589"/>
    <w:rsid w:val="001D6F1F"/>
    <w:rsid w:val="002014D3"/>
    <w:rsid w:val="00227125"/>
    <w:rsid w:val="00230E99"/>
    <w:rsid w:val="00246933"/>
    <w:rsid w:val="00262FD5"/>
    <w:rsid w:val="00281530"/>
    <w:rsid w:val="002946B8"/>
    <w:rsid w:val="002B0A00"/>
    <w:rsid w:val="002D1C65"/>
    <w:rsid w:val="00324779"/>
    <w:rsid w:val="00335E63"/>
    <w:rsid w:val="00350F98"/>
    <w:rsid w:val="00362977"/>
    <w:rsid w:val="00372D53"/>
    <w:rsid w:val="00383EDE"/>
    <w:rsid w:val="003A70A0"/>
    <w:rsid w:val="003B676F"/>
    <w:rsid w:val="003C28FE"/>
    <w:rsid w:val="003C31B1"/>
    <w:rsid w:val="003F56CC"/>
    <w:rsid w:val="003F5721"/>
    <w:rsid w:val="004239C2"/>
    <w:rsid w:val="004350D5"/>
    <w:rsid w:val="00450805"/>
    <w:rsid w:val="00470213"/>
    <w:rsid w:val="00483B87"/>
    <w:rsid w:val="004E3088"/>
    <w:rsid w:val="00516AE4"/>
    <w:rsid w:val="00520A2D"/>
    <w:rsid w:val="00551CA0"/>
    <w:rsid w:val="005604A4"/>
    <w:rsid w:val="00564569"/>
    <w:rsid w:val="005751CD"/>
    <w:rsid w:val="005B1ADB"/>
    <w:rsid w:val="005B2DD7"/>
    <w:rsid w:val="005E4D4F"/>
    <w:rsid w:val="00606F0B"/>
    <w:rsid w:val="00615554"/>
    <w:rsid w:val="006A6CC3"/>
    <w:rsid w:val="00704FED"/>
    <w:rsid w:val="00721DA1"/>
    <w:rsid w:val="007378C8"/>
    <w:rsid w:val="00741EC0"/>
    <w:rsid w:val="0077593E"/>
    <w:rsid w:val="00803917"/>
    <w:rsid w:val="00887DC1"/>
    <w:rsid w:val="008C1C61"/>
    <w:rsid w:val="008C35AF"/>
    <w:rsid w:val="0090109D"/>
    <w:rsid w:val="009410D4"/>
    <w:rsid w:val="00976CA7"/>
    <w:rsid w:val="009A51CC"/>
    <w:rsid w:val="00A07737"/>
    <w:rsid w:val="00A156E4"/>
    <w:rsid w:val="00A6148D"/>
    <w:rsid w:val="00A82122"/>
    <w:rsid w:val="00BA123A"/>
    <w:rsid w:val="00BB255B"/>
    <w:rsid w:val="00BD200F"/>
    <w:rsid w:val="00BE64C8"/>
    <w:rsid w:val="00BF05FA"/>
    <w:rsid w:val="00C173EE"/>
    <w:rsid w:val="00C2154D"/>
    <w:rsid w:val="00CA73BE"/>
    <w:rsid w:val="00CE1A70"/>
    <w:rsid w:val="00CF489F"/>
    <w:rsid w:val="00D06A25"/>
    <w:rsid w:val="00D12714"/>
    <w:rsid w:val="00D25BDC"/>
    <w:rsid w:val="00D300BF"/>
    <w:rsid w:val="00D4323B"/>
    <w:rsid w:val="00D53E86"/>
    <w:rsid w:val="00D736F8"/>
    <w:rsid w:val="00D86198"/>
    <w:rsid w:val="00DA2AE9"/>
    <w:rsid w:val="00DC36CE"/>
    <w:rsid w:val="00DE3A05"/>
    <w:rsid w:val="00DF0E55"/>
    <w:rsid w:val="00E520E6"/>
    <w:rsid w:val="00E549E0"/>
    <w:rsid w:val="00E64846"/>
    <w:rsid w:val="00E71122"/>
    <w:rsid w:val="00E92A83"/>
    <w:rsid w:val="00E97292"/>
    <w:rsid w:val="00EF0D17"/>
    <w:rsid w:val="00EF4343"/>
    <w:rsid w:val="00F408E6"/>
    <w:rsid w:val="00F86C29"/>
    <w:rsid w:val="00F936EB"/>
    <w:rsid w:val="00FB69AE"/>
    <w:rsid w:val="00FC209E"/>
    <w:rsid w:val="00FD5D56"/>
    <w:rsid w:val="00FF7CE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93DE8E"/>
  <w15:chartTrackingRefBased/>
  <w15:docId w15:val="{5AB661ED-F8E9-B842-BFAC-3D71C3AFD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27125"/>
    <w:pPr>
      <w:jc w:val="both"/>
    </w:pPr>
    <w:rPr>
      <w:rFonts w:ascii="Arial" w:hAnsi="Arial"/>
      <w:szCs w:val="24"/>
      <w:lang w:eastAsia="ko-KR"/>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Funotenzeichen">
    <w:name w:val="footnote reference"/>
    <w:aliases w:val="Footnote Reference Number,-E Fußnotenzeichen,(Diplomarbeit FZ),(Diplomarbeit FZ)1,(Diplomarbeit FZ)2,(Diplomarbeit FZ)3,(Diplomarbeit FZ)4,(Diplomarbeit FZ)5,(Diplomarbeit FZ)6,(Diplomarbeit FZ)7,(Diplomarbeit FZ)8,(Diplomarbeit FZ)9"/>
    <w:semiHidden/>
    <w:rsid w:val="005E4D4F"/>
    <w:rPr>
      <w:vertAlign w:val="superscript"/>
    </w:rPr>
  </w:style>
  <w:style w:type="paragraph" w:styleId="Titel">
    <w:name w:val="Title"/>
    <w:basedOn w:val="Standard"/>
    <w:link w:val="TitelZchn"/>
    <w:qFormat/>
    <w:rsid w:val="005E4D4F"/>
    <w:pPr>
      <w:pageBreakBefore/>
      <w:spacing w:before="120" w:after="120"/>
      <w:jc w:val="center"/>
    </w:pPr>
    <w:rPr>
      <w:b/>
      <w:snapToGrid w:val="0"/>
      <w:kern w:val="28"/>
      <w:sz w:val="32"/>
      <w:szCs w:val="20"/>
      <w:lang w:eastAsia="en-US"/>
    </w:rPr>
  </w:style>
  <w:style w:type="numbering" w:customStyle="1" w:styleId="Aufzhlung">
    <w:name w:val="Aufzählung"/>
    <w:basedOn w:val="KeineListe"/>
    <w:rsid w:val="00227125"/>
    <w:pPr>
      <w:numPr>
        <w:numId w:val="2"/>
      </w:numPr>
    </w:pPr>
  </w:style>
  <w:style w:type="paragraph" w:customStyle="1" w:styleId="Abbildungsbeschriftung">
    <w:name w:val="Abbildungsbeschriftung"/>
    <w:basedOn w:val="Standard"/>
    <w:rsid w:val="002946B8"/>
    <w:rPr>
      <w:i/>
      <w:iCs/>
    </w:rPr>
  </w:style>
  <w:style w:type="character" w:customStyle="1" w:styleId="TitelZchn">
    <w:name w:val="Titel Zchn"/>
    <w:link w:val="Titel"/>
    <w:rsid w:val="005E4D4F"/>
    <w:rPr>
      <w:rFonts w:ascii="Arial" w:hAnsi="Arial"/>
      <w:b/>
      <w:snapToGrid w:val="0"/>
      <w:kern w:val="28"/>
      <w:sz w:val="32"/>
      <w:lang w:val="de-DE" w:eastAsia="en-US" w:bidi="ar-SA"/>
    </w:rPr>
  </w:style>
  <w:style w:type="paragraph" w:customStyle="1" w:styleId="Ueberschrift">
    <w:name w:val="Ueberschrift"/>
    <w:basedOn w:val="Standard"/>
    <w:link w:val="UeberschriftChar"/>
    <w:rsid w:val="00A07737"/>
    <w:pPr>
      <w:spacing w:before="120" w:after="120"/>
    </w:pPr>
    <w:rPr>
      <w:b/>
      <w:spacing w:val="-5"/>
      <w:sz w:val="22"/>
      <w:lang w:eastAsia="de-DE"/>
    </w:rPr>
  </w:style>
  <w:style w:type="character" w:customStyle="1" w:styleId="UeberschriftChar">
    <w:name w:val="Ueberschrift Char"/>
    <w:link w:val="Ueberschrift"/>
    <w:rsid w:val="00A07737"/>
    <w:rPr>
      <w:rFonts w:ascii="Arial" w:hAnsi="Arial"/>
      <w:b/>
      <w:spacing w:val="-5"/>
      <w:sz w:val="22"/>
      <w:szCs w:val="24"/>
      <w:lang w:val="de-DE" w:eastAsia="de-DE" w:bidi="ar-SA"/>
    </w:rPr>
  </w:style>
  <w:style w:type="paragraph" w:customStyle="1" w:styleId="Abstract-Titel">
    <w:name w:val="Abstract-Titel"/>
    <w:basedOn w:val="Titel"/>
    <w:rsid w:val="005E4D4F"/>
    <w:rPr>
      <w:rFonts w:cs="Arial"/>
    </w:rPr>
  </w:style>
  <w:style w:type="paragraph" w:customStyle="1" w:styleId="AutorenOrganisation">
    <w:name w:val="Autoren &amp; Organisation"/>
    <w:basedOn w:val="Standard"/>
    <w:rsid w:val="00010E92"/>
    <w:pPr>
      <w:tabs>
        <w:tab w:val="left" w:pos="1560"/>
      </w:tabs>
      <w:overflowPunct w:val="0"/>
      <w:autoSpaceDE w:val="0"/>
      <w:autoSpaceDN w:val="0"/>
      <w:adjustRightInd w:val="0"/>
      <w:jc w:val="center"/>
      <w:textAlignment w:val="baseline"/>
    </w:pPr>
    <w:rPr>
      <w:rFonts w:cs="Arial"/>
      <w:color w:val="181512"/>
      <w:spacing w:val="-5"/>
      <w:sz w:val="24"/>
      <w:lang w:val="de-AT" w:eastAsia="de-DE"/>
    </w:rPr>
  </w:style>
  <w:style w:type="paragraph" w:customStyle="1" w:styleId="Literatur">
    <w:name w:val="Literatur"/>
    <w:basedOn w:val="Standard"/>
    <w:rsid w:val="005E4D4F"/>
    <w:pPr>
      <w:ind w:left="284" w:hanging="284"/>
    </w:pPr>
    <w:rPr>
      <w:rFonts w:cs="Arial"/>
      <w:szCs w:val="20"/>
      <w:lang w:eastAsia="de-DE"/>
    </w:rPr>
  </w:style>
  <w:style w:type="character" w:styleId="Kommentarzeichen">
    <w:name w:val="annotation reference"/>
    <w:basedOn w:val="Absatz-Standardschriftart"/>
    <w:uiPriority w:val="99"/>
    <w:semiHidden/>
    <w:unhideWhenUsed/>
    <w:rsid w:val="008C1C61"/>
    <w:rPr>
      <w:sz w:val="16"/>
      <w:szCs w:val="16"/>
    </w:rPr>
  </w:style>
  <w:style w:type="paragraph" w:styleId="Kommentartext">
    <w:name w:val="annotation text"/>
    <w:basedOn w:val="Standard"/>
    <w:link w:val="KommentartextZchn"/>
    <w:uiPriority w:val="99"/>
    <w:unhideWhenUsed/>
    <w:rsid w:val="008C1C61"/>
    <w:rPr>
      <w:szCs w:val="20"/>
    </w:rPr>
  </w:style>
  <w:style w:type="character" w:customStyle="1" w:styleId="KommentartextZchn">
    <w:name w:val="Kommentartext Zchn"/>
    <w:basedOn w:val="Absatz-Standardschriftart"/>
    <w:link w:val="Kommentartext"/>
    <w:uiPriority w:val="99"/>
    <w:rsid w:val="008C1C61"/>
    <w:rPr>
      <w:rFonts w:ascii="Arial" w:hAnsi="Arial"/>
      <w:lang w:val="de-DE" w:eastAsia="ko-KR"/>
    </w:rPr>
  </w:style>
  <w:style w:type="paragraph" w:styleId="Kommentarthema">
    <w:name w:val="annotation subject"/>
    <w:basedOn w:val="Kommentartext"/>
    <w:next w:val="Kommentartext"/>
    <w:link w:val="KommentarthemaZchn"/>
    <w:uiPriority w:val="99"/>
    <w:semiHidden/>
    <w:unhideWhenUsed/>
    <w:rsid w:val="008C1C61"/>
    <w:rPr>
      <w:b/>
      <w:bCs/>
    </w:rPr>
  </w:style>
  <w:style w:type="character" w:customStyle="1" w:styleId="KommentarthemaZchn">
    <w:name w:val="Kommentarthema Zchn"/>
    <w:basedOn w:val="KommentartextZchn"/>
    <w:link w:val="Kommentarthema"/>
    <w:uiPriority w:val="99"/>
    <w:semiHidden/>
    <w:rsid w:val="008C1C61"/>
    <w:rPr>
      <w:rFonts w:ascii="Arial" w:hAnsi="Arial"/>
      <w:b/>
      <w:bCs/>
      <w:lang w:val="de-DE"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6968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946</Words>
  <Characters>5963</Characters>
  <Application>Microsoft Office Word</Application>
  <DocSecurity>0</DocSecurity>
  <Lines>49</Lines>
  <Paragraphs>13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Titel</vt:lpstr>
      <vt:lpstr>Titel</vt:lpstr>
    </vt:vector>
  </TitlesOfParts>
  <Company>TU-Wien Campuslizenz</Company>
  <LinksUpToDate>false</LinksUpToDate>
  <CharactersWithSpaces>6896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Titel</dc:title>
  <dc:subject/>
  <dc:creator>Gerald</dc:creator>
  <cp:keywords/>
  <cp:lastModifiedBy>Marius Tillmanns</cp:lastModifiedBy>
  <cp:revision>2</cp:revision>
  <cp:lastPrinted>2022-11-22T20:44:00Z</cp:lastPrinted>
  <dcterms:created xsi:type="dcterms:W3CDTF">2022-11-22T21:08:00Z</dcterms:created>
  <dcterms:modified xsi:type="dcterms:W3CDTF">2022-11-22T21:08:00Z</dcterms:modified>
</cp:coreProperties>
</file>