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E3" w:rsidRPr="00867054" w:rsidRDefault="008F16EB" w:rsidP="00867054">
      <w:pPr>
        <w:pStyle w:val="Autoren"/>
        <w:rPr>
          <w:smallCaps/>
          <w:spacing w:val="-10"/>
          <w:kern w:val="28"/>
          <w:sz w:val="36"/>
          <w:szCs w:val="56"/>
          <w:lang w:val="en-US"/>
        </w:rPr>
      </w:pPr>
      <w:bookmarkStart w:id="0" w:name="_Hlk119933512"/>
      <w:r>
        <w:rPr>
          <w:smallCaps/>
          <w:spacing w:val="-10"/>
          <w:kern w:val="28"/>
          <w:sz w:val="36"/>
          <w:szCs w:val="56"/>
          <w:lang w:val="en-US"/>
        </w:rPr>
        <w:t>SECURES</w:t>
      </w:r>
      <w:r w:rsidRPr="00867054">
        <w:rPr>
          <w:smallCaps/>
          <w:spacing w:val="-10"/>
          <w:kern w:val="28"/>
          <w:sz w:val="36"/>
          <w:szCs w:val="56"/>
          <w:lang w:val="en-US"/>
        </w:rPr>
        <w:t xml:space="preserve">: </w:t>
      </w:r>
      <w:r>
        <w:rPr>
          <w:smallCaps/>
          <w:spacing w:val="-10"/>
          <w:kern w:val="28"/>
          <w:sz w:val="36"/>
          <w:szCs w:val="56"/>
          <w:lang w:val="en-US"/>
        </w:rPr>
        <w:t>S</w:t>
      </w:r>
      <w:r w:rsidRPr="00867054">
        <w:rPr>
          <w:smallCaps/>
          <w:spacing w:val="-10"/>
          <w:kern w:val="28"/>
          <w:sz w:val="36"/>
          <w:szCs w:val="56"/>
          <w:lang w:val="en-US"/>
        </w:rPr>
        <w:t xml:space="preserve">ecuring </w:t>
      </w:r>
      <w:r>
        <w:rPr>
          <w:smallCaps/>
          <w:spacing w:val="-10"/>
          <w:kern w:val="28"/>
          <w:sz w:val="36"/>
          <w:szCs w:val="56"/>
          <w:lang w:val="en-US"/>
        </w:rPr>
        <w:t>A</w:t>
      </w:r>
      <w:r w:rsidRPr="00867054">
        <w:rPr>
          <w:smallCaps/>
          <w:spacing w:val="-10"/>
          <w:kern w:val="28"/>
          <w:sz w:val="36"/>
          <w:szCs w:val="56"/>
          <w:lang w:val="en-US"/>
        </w:rPr>
        <w:t xml:space="preserve">ustria´s </w:t>
      </w:r>
      <w:r>
        <w:rPr>
          <w:smallCaps/>
          <w:spacing w:val="-10"/>
          <w:kern w:val="28"/>
          <w:sz w:val="36"/>
          <w:szCs w:val="56"/>
          <w:lang w:val="en-US"/>
        </w:rPr>
        <w:t>E</w:t>
      </w:r>
      <w:r w:rsidRPr="00867054">
        <w:rPr>
          <w:smallCaps/>
          <w:spacing w:val="-10"/>
          <w:kern w:val="28"/>
          <w:sz w:val="36"/>
          <w:szCs w:val="56"/>
          <w:lang w:val="en-US"/>
        </w:rPr>
        <w:t xml:space="preserve">lectricity </w:t>
      </w:r>
      <w:r>
        <w:rPr>
          <w:smallCaps/>
          <w:spacing w:val="-10"/>
          <w:kern w:val="28"/>
          <w:sz w:val="36"/>
          <w:szCs w:val="56"/>
          <w:lang w:val="en-US"/>
        </w:rPr>
        <w:t>S</w:t>
      </w:r>
      <w:r w:rsidRPr="00867054">
        <w:rPr>
          <w:smallCaps/>
          <w:spacing w:val="-10"/>
          <w:kern w:val="28"/>
          <w:sz w:val="36"/>
          <w:szCs w:val="56"/>
          <w:lang w:val="en-US"/>
        </w:rPr>
        <w:t xml:space="preserve">upply in </w:t>
      </w:r>
      <w:r>
        <w:rPr>
          <w:smallCaps/>
          <w:spacing w:val="-10"/>
          <w:kern w:val="28"/>
          <w:sz w:val="36"/>
          <w:szCs w:val="56"/>
          <w:lang w:val="en-US"/>
        </w:rPr>
        <w:t>T</w:t>
      </w:r>
      <w:r w:rsidRPr="00867054">
        <w:rPr>
          <w:smallCaps/>
          <w:spacing w:val="-10"/>
          <w:kern w:val="28"/>
          <w:sz w:val="36"/>
          <w:szCs w:val="56"/>
          <w:lang w:val="en-US"/>
        </w:rPr>
        <w:t xml:space="preserve">imes of </w:t>
      </w:r>
      <w:r>
        <w:rPr>
          <w:smallCaps/>
          <w:spacing w:val="-10"/>
          <w:kern w:val="28"/>
          <w:sz w:val="36"/>
          <w:szCs w:val="56"/>
          <w:lang w:val="en-US"/>
        </w:rPr>
        <w:t>C</w:t>
      </w:r>
      <w:r w:rsidRPr="00867054">
        <w:rPr>
          <w:smallCaps/>
          <w:spacing w:val="-10"/>
          <w:kern w:val="28"/>
          <w:sz w:val="36"/>
          <w:szCs w:val="56"/>
          <w:lang w:val="en-US"/>
        </w:rPr>
        <w:t xml:space="preserve">limate </w:t>
      </w:r>
      <w:r>
        <w:rPr>
          <w:smallCaps/>
          <w:spacing w:val="-10"/>
          <w:kern w:val="28"/>
          <w:sz w:val="36"/>
          <w:szCs w:val="56"/>
          <w:lang w:val="en-US"/>
        </w:rPr>
        <w:t>C</w:t>
      </w:r>
      <w:r w:rsidRPr="00867054">
        <w:rPr>
          <w:smallCaps/>
          <w:spacing w:val="-10"/>
          <w:kern w:val="28"/>
          <w:sz w:val="36"/>
          <w:szCs w:val="56"/>
          <w:lang w:val="en-US"/>
        </w:rPr>
        <w:t>hange</w:t>
      </w:r>
      <w:r>
        <w:rPr>
          <w:smallCaps/>
          <w:spacing w:val="-10"/>
          <w:kern w:val="28"/>
          <w:sz w:val="36"/>
          <w:szCs w:val="56"/>
          <w:lang w:val="en-US"/>
        </w:rPr>
        <w:t xml:space="preserve"> </w:t>
      </w:r>
      <w:r w:rsidR="004960E7">
        <w:rPr>
          <w:smallCaps/>
          <w:spacing w:val="-10"/>
          <w:kern w:val="28"/>
          <w:sz w:val="36"/>
          <w:szCs w:val="56"/>
          <w:lang w:val="en-US"/>
        </w:rPr>
        <w:t xml:space="preserve"> – Results and Conclusions </w:t>
      </w:r>
      <w:r w:rsidR="00E55ADD">
        <w:rPr>
          <w:smallCaps/>
          <w:spacing w:val="-10"/>
          <w:kern w:val="28"/>
          <w:sz w:val="36"/>
          <w:szCs w:val="56"/>
          <w:lang w:val="en-US"/>
        </w:rPr>
        <w:t>from</w:t>
      </w:r>
      <w:r w:rsidR="004960E7">
        <w:rPr>
          <w:smallCaps/>
          <w:spacing w:val="-10"/>
          <w:kern w:val="28"/>
          <w:sz w:val="36"/>
          <w:szCs w:val="56"/>
          <w:lang w:val="en-US"/>
        </w:rPr>
        <w:t xml:space="preserve"> </w:t>
      </w:r>
      <w:r>
        <w:rPr>
          <w:smallCaps/>
          <w:spacing w:val="-10"/>
          <w:kern w:val="28"/>
          <w:sz w:val="36"/>
          <w:szCs w:val="56"/>
          <w:lang w:val="en-US"/>
        </w:rPr>
        <w:t>the</w:t>
      </w:r>
      <w:r w:rsidR="004960E7">
        <w:rPr>
          <w:smallCaps/>
          <w:spacing w:val="-10"/>
          <w:kern w:val="28"/>
          <w:sz w:val="36"/>
          <w:szCs w:val="56"/>
          <w:lang w:val="en-US"/>
        </w:rPr>
        <w:t xml:space="preserve"> </w:t>
      </w:r>
      <w:r>
        <w:rPr>
          <w:smallCaps/>
          <w:spacing w:val="-10"/>
          <w:kern w:val="28"/>
          <w:sz w:val="36"/>
          <w:szCs w:val="56"/>
          <w:lang w:val="en-US"/>
        </w:rPr>
        <w:t>M</w:t>
      </w:r>
      <w:r w:rsidR="004960E7">
        <w:rPr>
          <w:smallCaps/>
          <w:spacing w:val="-10"/>
          <w:kern w:val="28"/>
          <w:sz w:val="36"/>
          <w:szCs w:val="56"/>
          <w:lang w:val="en-US"/>
        </w:rPr>
        <w:t>odel-based Analysis</w:t>
      </w:r>
    </w:p>
    <w:bookmarkEnd w:id="0"/>
    <w:p w:rsidR="00E458E3" w:rsidRPr="002607AF" w:rsidRDefault="00E458E3" w:rsidP="00867054">
      <w:pPr>
        <w:pStyle w:val="AutorenOrganisation"/>
        <w:rPr>
          <w:color w:val="auto"/>
          <w:lang w:val="de-DE"/>
        </w:rPr>
      </w:pPr>
      <w:r w:rsidRPr="002607AF">
        <w:rPr>
          <w:color w:val="auto"/>
          <w:lang w:val="de-DE"/>
        </w:rPr>
        <w:t>Energie-/Klimapolitik, Versorgungssicherheit</w:t>
      </w:r>
    </w:p>
    <w:p w:rsidR="00E44BF0" w:rsidRPr="00EA50F1" w:rsidRDefault="004960E7" w:rsidP="00867054">
      <w:pPr>
        <w:pStyle w:val="AutorenOrganisation"/>
        <w:rPr>
          <w:color w:val="auto"/>
          <w:lang w:val="de-DE"/>
        </w:rPr>
      </w:pPr>
      <w:bookmarkStart w:id="1" w:name="_Hlk119933605"/>
      <w:r>
        <w:rPr>
          <w:color w:val="auto"/>
          <w:lang w:val="de-DE"/>
        </w:rPr>
        <w:t>Gustav Resch</w:t>
      </w:r>
      <w:r w:rsidR="00E44BF0" w:rsidRPr="00867054">
        <w:rPr>
          <w:color w:val="auto"/>
          <w:vertAlign w:val="superscript"/>
          <w:lang w:val="en-US"/>
        </w:rPr>
        <w:footnoteReference w:id="1"/>
      </w:r>
      <w:r w:rsidR="00E44BF0" w:rsidRPr="00EA50F1">
        <w:rPr>
          <w:color w:val="auto"/>
          <w:vertAlign w:val="superscript"/>
          <w:lang w:val="de-DE"/>
        </w:rPr>
        <w:t>(1)</w:t>
      </w:r>
      <w:r w:rsidR="00E44BF0" w:rsidRPr="00EA50F1">
        <w:rPr>
          <w:color w:val="auto"/>
          <w:lang w:val="de-DE"/>
        </w:rPr>
        <w:t>, Franziska Schöniger</w:t>
      </w:r>
      <w:r w:rsidR="000716D3" w:rsidRPr="00EA50F1">
        <w:rPr>
          <w:color w:val="auto"/>
          <w:lang w:val="de-DE"/>
        </w:rPr>
        <w:t xml:space="preserve"> </w:t>
      </w:r>
      <w:r w:rsidR="000716D3" w:rsidRPr="00EA50F1">
        <w:rPr>
          <w:color w:val="auto"/>
          <w:vertAlign w:val="superscript"/>
          <w:lang w:val="de-DE"/>
        </w:rPr>
        <w:t>(</w:t>
      </w:r>
      <w:r>
        <w:rPr>
          <w:color w:val="auto"/>
          <w:vertAlign w:val="superscript"/>
          <w:lang w:val="de-DE"/>
        </w:rPr>
        <w:t>1</w:t>
      </w:r>
      <w:r w:rsidR="000716D3" w:rsidRPr="00EA50F1">
        <w:rPr>
          <w:color w:val="auto"/>
          <w:vertAlign w:val="superscript"/>
          <w:lang w:val="de-DE"/>
        </w:rPr>
        <w:t>)</w:t>
      </w:r>
      <w:r w:rsidR="00E44BF0" w:rsidRPr="00EA50F1">
        <w:rPr>
          <w:color w:val="auto"/>
          <w:lang w:val="de-DE"/>
        </w:rPr>
        <w:t xml:space="preserve">, </w:t>
      </w:r>
      <w:r w:rsidRPr="00EA50F1">
        <w:rPr>
          <w:color w:val="auto"/>
          <w:lang w:val="de-DE"/>
        </w:rPr>
        <w:t>Florian Hasengst</w:t>
      </w:r>
      <w:r w:rsidRPr="00EA50F1">
        <w:rPr>
          <w:color w:val="auto"/>
          <w:vertAlign w:val="superscript"/>
          <w:lang w:val="de-DE"/>
        </w:rPr>
        <w:t>(</w:t>
      </w:r>
      <w:r>
        <w:rPr>
          <w:color w:val="auto"/>
          <w:vertAlign w:val="superscript"/>
          <w:lang w:val="de-DE"/>
        </w:rPr>
        <w:t>1</w:t>
      </w:r>
      <w:r w:rsidRPr="00EA50F1">
        <w:rPr>
          <w:color w:val="auto"/>
          <w:vertAlign w:val="superscript"/>
          <w:lang w:val="de-DE"/>
        </w:rPr>
        <w:t>)</w:t>
      </w:r>
      <w:r w:rsidRPr="00EA50F1">
        <w:rPr>
          <w:color w:val="auto"/>
          <w:lang w:val="de-DE"/>
        </w:rPr>
        <w:t>,</w:t>
      </w:r>
      <w:r>
        <w:rPr>
          <w:color w:val="auto"/>
          <w:lang w:val="de-DE"/>
        </w:rPr>
        <w:t xml:space="preserve"> Demet Suna </w:t>
      </w:r>
      <w:r w:rsidRPr="004960E7">
        <w:rPr>
          <w:color w:val="auto"/>
          <w:vertAlign w:val="superscript"/>
          <w:lang w:val="de-DE"/>
        </w:rPr>
        <w:t>(2)</w:t>
      </w:r>
      <w:r>
        <w:rPr>
          <w:color w:val="auto"/>
          <w:lang w:val="de-DE"/>
        </w:rPr>
        <w:t xml:space="preserve">, </w:t>
      </w:r>
      <w:r w:rsidR="003E5F7E" w:rsidRPr="00EA50F1">
        <w:rPr>
          <w:color w:val="auto"/>
          <w:lang w:val="de-DE"/>
        </w:rPr>
        <w:t xml:space="preserve">Nicolas </w:t>
      </w:r>
      <w:bookmarkStart w:id="2" w:name="_GoBack"/>
      <w:r w:rsidR="003E5F7E" w:rsidRPr="00EA50F1">
        <w:rPr>
          <w:color w:val="auto"/>
          <w:lang w:val="de-DE"/>
        </w:rPr>
        <w:t>Pardo-</w:t>
      </w:r>
      <w:r w:rsidR="00167209" w:rsidRPr="00EA50F1">
        <w:rPr>
          <w:color w:val="auto"/>
          <w:lang w:val="de-DE"/>
        </w:rPr>
        <w:t>Garcia</w:t>
      </w:r>
      <w:bookmarkEnd w:id="2"/>
      <w:r w:rsidR="00167209" w:rsidRPr="00EA50F1">
        <w:rPr>
          <w:color w:val="auto"/>
          <w:vertAlign w:val="superscript"/>
          <w:lang w:val="de-DE"/>
        </w:rPr>
        <w:t xml:space="preserve"> (</w:t>
      </w:r>
      <w:r>
        <w:rPr>
          <w:color w:val="auto"/>
          <w:vertAlign w:val="superscript"/>
          <w:lang w:val="de-DE"/>
        </w:rPr>
        <w:t>2</w:t>
      </w:r>
      <w:r w:rsidR="003E5F7E" w:rsidRPr="00EA50F1">
        <w:rPr>
          <w:color w:val="auto"/>
          <w:vertAlign w:val="superscript"/>
          <w:lang w:val="de-DE"/>
        </w:rPr>
        <w:t>)</w:t>
      </w:r>
      <w:r w:rsidR="003E5F7E" w:rsidRPr="00EA50F1">
        <w:rPr>
          <w:color w:val="auto"/>
          <w:lang w:val="de-DE"/>
        </w:rPr>
        <w:t>, Gerhard Totschnig</w:t>
      </w:r>
      <w:r w:rsidR="003E5F7E" w:rsidRPr="00EA50F1">
        <w:rPr>
          <w:color w:val="auto"/>
          <w:vertAlign w:val="superscript"/>
          <w:lang w:val="de-DE"/>
        </w:rPr>
        <w:t xml:space="preserve"> (</w:t>
      </w:r>
      <w:r>
        <w:rPr>
          <w:color w:val="auto"/>
          <w:vertAlign w:val="superscript"/>
          <w:lang w:val="de-DE"/>
        </w:rPr>
        <w:t>2</w:t>
      </w:r>
      <w:r w:rsidR="003E5F7E" w:rsidRPr="00EA50F1">
        <w:rPr>
          <w:color w:val="auto"/>
          <w:vertAlign w:val="superscript"/>
          <w:lang w:val="de-DE"/>
        </w:rPr>
        <w:t>)</w:t>
      </w:r>
    </w:p>
    <w:bookmarkEnd w:id="1"/>
    <w:p w:rsidR="005E4D4F" w:rsidRPr="001530C3" w:rsidRDefault="00A156E4" w:rsidP="00867054">
      <w:pPr>
        <w:pStyle w:val="AutorenOrganisation"/>
        <w:rPr>
          <w:color w:val="auto"/>
          <w:lang w:val="en-US"/>
        </w:rPr>
      </w:pPr>
      <w:r w:rsidRPr="00867054">
        <w:rPr>
          <w:color w:val="auto"/>
          <w:vertAlign w:val="superscript"/>
          <w:lang w:val="en-US"/>
        </w:rPr>
        <w:t>(</w:t>
      </w:r>
      <w:r w:rsidR="00010E92" w:rsidRPr="00867054">
        <w:rPr>
          <w:color w:val="auto"/>
          <w:vertAlign w:val="superscript"/>
          <w:lang w:val="en-US"/>
        </w:rPr>
        <w:t>1</w:t>
      </w:r>
      <w:r w:rsidRPr="00867054">
        <w:rPr>
          <w:color w:val="auto"/>
          <w:vertAlign w:val="superscript"/>
          <w:lang w:val="en-US"/>
        </w:rPr>
        <w:t>)</w:t>
      </w:r>
      <w:r w:rsidR="000716D3" w:rsidRPr="00867054">
        <w:rPr>
          <w:color w:val="auto"/>
          <w:lang w:val="en-US"/>
        </w:rPr>
        <w:t xml:space="preserve"> TU Wien</w:t>
      </w:r>
      <w:r w:rsidR="004960E7">
        <w:rPr>
          <w:color w:val="auto"/>
          <w:lang w:val="en-US"/>
        </w:rPr>
        <w:t xml:space="preserve">, </w:t>
      </w:r>
      <w:r w:rsidR="000716D3" w:rsidRPr="00867054">
        <w:rPr>
          <w:color w:val="auto"/>
          <w:lang w:val="en-US"/>
        </w:rPr>
        <w:t>Energy Economics Group</w:t>
      </w:r>
      <w:r w:rsidR="001530C3">
        <w:rPr>
          <w:color w:val="auto"/>
          <w:lang w:val="en-US"/>
        </w:rPr>
        <w:t xml:space="preserve">, </w:t>
      </w:r>
      <w:r w:rsidR="004960E7" w:rsidRPr="00867054">
        <w:rPr>
          <w:color w:val="auto"/>
          <w:vertAlign w:val="superscript"/>
          <w:lang w:val="en-US"/>
        </w:rPr>
        <w:t>(2)</w:t>
      </w:r>
      <w:r w:rsidR="001530C3">
        <w:rPr>
          <w:color w:val="auto"/>
          <w:lang w:val="en-US"/>
        </w:rPr>
        <w:t xml:space="preserve"> </w:t>
      </w:r>
      <w:r w:rsidR="004960E7" w:rsidRPr="00867054">
        <w:rPr>
          <w:color w:val="auto"/>
          <w:lang w:val="en-US"/>
        </w:rPr>
        <w:t>AIT Austrian Institute of Technology GmbH, Integrated Energy Systems</w:t>
      </w:r>
    </w:p>
    <w:p w:rsidR="00A07737" w:rsidRPr="00867054" w:rsidRDefault="00A07737" w:rsidP="00867054">
      <w:pPr>
        <w:jc w:val="center"/>
        <w:rPr>
          <w:lang w:val="en-US"/>
        </w:rPr>
      </w:pPr>
    </w:p>
    <w:p w:rsidR="002D7389" w:rsidRPr="00C26976" w:rsidRDefault="007C121F" w:rsidP="00C26976">
      <w:pPr>
        <w:pStyle w:val="Ueberschrift"/>
        <w:rPr>
          <w:szCs w:val="22"/>
          <w:lang w:val="en-US"/>
        </w:rPr>
      </w:pPr>
      <w:r w:rsidRPr="00C26976">
        <w:t>Motivation</w:t>
      </w:r>
      <w:r w:rsidRPr="00C26976">
        <w:rPr>
          <w:szCs w:val="22"/>
          <w:lang w:val="en-US"/>
        </w:rPr>
        <w:t xml:space="preserve"> </w:t>
      </w:r>
    </w:p>
    <w:p w:rsidR="00203DC8" w:rsidRPr="00867054" w:rsidRDefault="007C121F" w:rsidP="00C92F58">
      <w:pPr>
        <w:rPr>
          <w:lang w:val="en-US"/>
        </w:rPr>
      </w:pPr>
      <w:r w:rsidRPr="00867054">
        <w:rPr>
          <w:lang w:val="en-US"/>
        </w:rPr>
        <w:t xml:space="preserve">The transition of Austria’s electricity system towards a safe and sustainable future in times of climate change brings a broad range of challenges and opportunities into the policy debate where timely decisions on the way forward are of key relevance. </w:t>
      </w:r>
      <w:r w:rsidR="00BD4AFC" w:rsidRPr="00867054">
        <w:rPr>
          <w:lang w:val="en-US"/>
        </w:rPr>
        <w:t>To provide targeted support to Austrian policy makers for Austria´s future years, the project SECURES aims</w:t>
      </w:r>
    </w:p>
    <w:p w:rsidR="00CD462B" w:rsidRPr="00867054" w:rsidRDefault="00BD4AFC" w:rsidP="00C92F58">
      <w:pPr>
        <w:numPr>
          <w:ilvl w:val="0"/>
          <w:numId w:val="5"/>
        </w:numPr>
        <w:tabs>
          <w:tab w:val="num" w:pos="720"/>
        </w:tabs>
        <w:rPr>
          <w:lang w:val="en-US"/>
        </w:rPr>
      </w:pPr>
      <w:r w:rsidRPr="00867054">
        <w:rPr>
          <w:lang w:val="en-US"/>
        </w:rPr>
        <w:t>t</w:t>
      </w:r>
      <w:r w:rsidR="002D7389" w:rsidRPr="00867054">
        <w:rPr>
          <w:lang w:val="en-US"/>
        </w:rPr>
        <w:t>o define a suitable set of future trend scenarios for electricity sector</w:t>
      </w:r>
      <w:r w:rsidRPr="00867054">
        <w:rPr>
          <w:lang w:val="en-US"/>
        </w:rPr>
        <w:t xml:space="preserve"> and</w:t>
      </w:r>
    </w:p>
    <w:p w:rsidR="002D7389" w:rsidRPr="00867054" w:rsidRDefault="00BD4AFC" w:rsidP="00C92F58">
      <w:pPr>
        <w:numPr>
          <w:ilvl w:val="0"/>
          <w:numId w:val="5"/>
        </w:numPr>
        <w:rPr>
          <w:lang w:val="en-US"/>
        </w:rPr>
      </w:pPr>
      <w:r w:rsidRPr="00867054">
        <w:rPr>
          <w:lang w:val="en-US"/>
        </w:rPr>
        <w:t>t</w:t>
      </w:r>
      <w:r w:rsidR="002D7389" w:rsidRPr="00867054">
        <w:rPr>
          <w:lang w:val="en-US"/>
        </w:rPr>
        <w:t>o conduct a comprehensive model-based scenario analysis of Austria’s future electricity sector, targeted to secure a reliable, sustainable and cost-efficient transition of Austria’s electricity sector in times of climate change.</w:t>
      </w:r>
    </w:p>
    <w:p w:rsidR="006F101D" w:rsidRDefault="006F101D" w:rsidP="00C92F58">
      <w:pPr>
        <w:rPr>
          <w:lang w:val="en-US"/>
        </w:rPr>
      </w:pPr>
    </w:p>
    <w:p w:rsidR="00BD4AFC" w:rsidRDefault="00BD4AFC" w:rsidP="00C92F58">
      <w:pPr>
        <w:rPr>
          <w:lang w:val="en-US"/>
        </w:rPr>
      </w:pPr>
      <w:r w:rsidRPr="00867054">
        <w:rPr>
          <w:lang w:val="en-US"/>
        </w:rPr>
        <w:t xml:space="preserve">This </w:t>
      </w:r>
      <w:r w:rsidR="004960E7">
        <w:rPr>
          <w:lang w:val="en-US"/>
        </w:rPr>
        <w:t>paper</w:t>
      </w:r>
      <w:r w:rsidRPr="00867054">
        <w:rPr>
          <w:lang w:val="en-US"/>
        </w:rPr>
        <w:t xml:space="preserve"> </w:t>
      </w:r>
      <w:r w:rsidR="004960E7">
        <w:rPr>
          <w:lang w:val="en-US"/>
        </w:rPr>
        <w:t xml:space="preserve">provides an outlook on the results </w:t>
      </w:r>
      <w:r w:rsidR="00E55ADD">
        <w:rPr>
          <w:lang w:val="en-US"/>
        </w:rPr>
        <w:t xml:space="preserve">and conclusions derived </w:t>
      </w:r>
      <w:r w:rsidR="004960E7">
        <w:rPr>
          <w:lang w:val="en-US"/>
        </w:rPr>
        <w:t xml:space="preserve">from the </w:t>
      </w:r>
      <w:r w:rsidR="00E55ADD">
        <w:rPr>
          <w:lang w:val="en-US"/>
        </w:rPr>
        <w:t xml:space="preserve">ongoing corresponding </w:t>
      </w:r>
      <w:r w:rsidR="004960E7">
        <w:rPr>
          <w:lang w:val="en-US"/>
        </w:rPr>
        <w:t>model-based analysis</w:t>
      </w:r>
      <w:r w:rsidR="00E55ADD">
        <w:rPr>
          <w:lang w:val="en-US"/>
        </w:rPr>
        <w:t>. It</w:t>
      </w:r>
      <w:r w:rsidR="00292116">
        <w:rPr>
          <w:lang w:val="en-US"/>
        </w:rPr>
        <w:t xml:space="preserve"> is intended to be part of </w:t>
      </w:r>
      <w:r w:rsidR="00E55ADD">
        <w:rPr>
          <w:lang w:val="en-US"/>
        </w:rPr>
        <w:t xml:space="preserve">a </w:t>
      </w:r>
      <w:r w:rsidR="00292116">
        <w:rPr>
          <w:lang w:val="en-US"/>
        </w:rPr>
        <w:t>special session on the project SECURES within IEWT 2023.</w:t>
      </w:r>
    </w:p>
    <w:p w:rsidR="00523DD2" w:rsidRPr="00867054" w:rsidRDefault="00523DD2" w:rsidP="00C92F58">
      <w:pPr>
        <w:rPr>
          <w:lang w:val="en-US"/>
        </w:rPr>
      </w:pPr>
    </w:p>
    <w:p w:rsidR="005E4D4F" w:rsidRPr="00C26976" w:rsidRDefault="00CD462B" w:rsidP="00C26976">
      <w:pPr>
        <w:pStyle w:val="berschrift1"/>
        <w:jc w:val="left"/>
        <w:rPr>
          <w:sz w:val="22"/>
          <w:szCs w:val="22"/>
          <w:lang w:val="en-US"/>
        </w:rPr>
      </w:pPr>
      <w:r w:rsidRPr="00C26976">
        <w:rPr>
          <w:sz w:val="22"/>
          <w:szCs w:val="22"/>
          <w:lang w:val="en-US"/>
        </w:rPr>
        <w:t>Method</w:t>
      </w:r>
    </w:p>
    <w:p w:rsidR="006F101D" w:rsidRDefault="00800E84" w:rsidP="00BD2726">
      <w:pPr>
        <w:rPr>
          <w:lang w:val="en-US"/>
        </w:rPr>
      </w:pPr>
      <w:r>
        <w:rPr>
          <w:lang w:val="en-US"/>
        </w:rPr>
        <w:t>Our</w:t>
      </w:r>
      <w:r w:rsidR="00B26EDA">
        <w:rPr>
          <w:lang w:val="en-US"/>
        </w:rPr>
        <w:t xml:space="preserve"> overall </w:t>
      </w:r>
      <w:r>
        <w:rPr>
          <w:lang w:val="en-US"/>
        </w:rPr>
        <w:t>analysis</w:t>
      </w:r>
      <w:r w:rsidR="00B26EDA">
        <w:rPr>
          <w:lang w:val="en-US"/>
        </w:rPr>
        <w:t xml:space="preserve"> focusses on </w:t>
      </w:r>
      <w:r>
        <w:rPr>
          <w:lang w:val="en-US"/>
        </w:rPr>
        <w:t xml:space="preserve">the assessment of </w:t>
      </w:r>
      <w:r w:rsidRPr="00800E84">
        <w:rPr>
          <w:lang w:val="en-US"/>
        </w:rPr>
        <w:t xml:space="preserve">how flexibility options contribute to meet the respective demand </w:t>
      </w:r>
      <w:r>
        <w:rPr>
          <w:lang w:val="en-US"/>
        </w:rPr>
        <w:t xml:space="preserve">in Austria’s electricity sector of the future (2030, 2050). </w:t>
      </w:r>
      <w:r w:rsidR="006F101D">
        <w:rPr>
          <w:lang w:val="en-US"/>
        </w:rPr>
        <w:t xml:space="preserve">Building on the modelling of distinct scenarios as defined in [1], we thus analyze the influence of the ongoing energy transformation as well as climate impacts derived from an in-depth analysis of climate </w:t>
      </w:r>
      <w:r w:rsidR="00523DD2">
        <w:rPr>
          <w:lang w:val="en-US"/>
        </w:rPr>
        <w:t>data</w:t>
      </w:r>
      <w:r w:rsidR="006F101D">
        <w:rPr>
          <w:lang w:val="en-US"/>
        </w:rPr>
        <w:t>.</w:t>
      </w:r>
    </w:p>
    <w:p w:rsidR="006F101D" w:rsidRDefault="006F101D" w:rsidP="00BD2726">
      <w:pPr>
        <w:rPr>
          <w:lang w:val="en-US"/>
        </w:rPr>
      </w:pPr>
    </w:p>
    <w:p w:rsidR="00B26EDA" w:rsidRDefault="00B26EDA" w:rsidP="00BD2726">
      <w:pPr>
        <w:rPr>
          <w:lang w:val="en-US"/>
        </w:rPr>
      </w:pPr>
      <w:r>
        <w:rPr>
          <w:lang w:val="en-US"/>
        </w:rPr>
        <w:t>T</w:t>
      </w:r>
      <w:r w:rsidR="00BD2726" w:rsidRPr="00BD2726">
        <w:rPr>
          <w:lang w:val="en-US"/>
        </w:rPr>
        <w:t>he starting point for determining the need for flexibility is the analysis of the Residual Load (RL). In th</w:t>
      </w:r>
      <w:r w:rsidR="001B061E">
        <w:rPr>
          <w:lang w:val="en-US"/>
        </w:rPr>
        <w:t>is</w:t>
      </w:r>
      <w:r w:rsidR="00BD2726" w:rsidRPr="00BD2726">
        <w:rPr>
          <w:lang w:val="en-US"/>
        </w:rPr>
        <w:t xml:space="preserve"> study, RL expressed as an hourly power value in GW, represents the difference between the total </w:t>
      </w:r>
      <w:r w:rsidR="001B061E">
        <w:rPr>
          <w:lang w:val="en-US"/>
        </w:rPr>
        <w:t>electricity</w:t>
      </w:r>
      <w:r w:rsidR="00BD2726" w:rsidRPr="00BD2726">
        <w:rPr>
          <w:lang w:val="en-US"/>
        </w:rPr>
        <w:t xml:space="preserve"> demand and the electricity infeed from variable </w:t>
      </w:r>
      <w:r w:rsidR="001B061E">
        <w:rPr>
          <w:lang w:val="en-US"/>
        </w:rPr>
        <w:t>renewables including run-of-river hydro, wind and photovoltaics</w:t>
      </w:r>
      <w:r w:rsidR="00BD2726" w:rsidRPr="00BD2726">
        <w:rPr>
          <w:lang w:val="en-US"/>
        </w:rPr>
        <w:t xml:space="preserve">. RL can be positive (temporary generation deficit), negative (temporary generation surplus), or, in individual cases, zero (generation and consumption balanced). </w:t>
      </w:r>
    </w:p>
    <w:p w:rsidR="00B26EDA" w:rsidRDefault="00B26EDA" w:rsidP="00BD2726">
      <w:pPr>
        <w:rPr>
          <w:lang w:val="en-US"/>
        </w:rPr>
      </w:pPr>
    </w:p>
    <w:p w:rsidR="00B26EDA" w:rsidRDefault="00BD2726" w:rsidP="00BD2726">
      <w:pPr>
        <w:rPr>
          <w:lang w:val="en-US"/>
        </w:rPr>
      </w:pPr>
      <w:r w:rsidRPr="00BD2726">
        <w:rPr>
          <w:lang w:val="en-US"/>
        </w:rPr>
        <w:t>Based on the determination of RL, the calculation of the flexibility needs w</w:t>
      </w:r>
      <w:r w:rsidR="001B061E">
        <w:rPr>
          <w:lang w:val="en-US"/>
        </w:rPr>
        <w:t>ill</w:t>
      </w:r>
      <w:r w:rsidRPr="00BD2726">
        <w:rPr>
          <w:lang w:val="en-US"/>
        </w:rPr>
        <w:t xml:space="preserve"> then </w:t>
      </w:r>
      <w:r w:rsidR="001B061E">
        <w:rPr>
          <w:lang w:val="en-US"/>
        </w:rPr>
        <w:t xml:space="preserve">be </w:t>
      </w:r>
      <w:r w:rsidRPr="00BD2726">
        <w:rPr>
          <w:lang w:val="en-US"/>
        </w:rPr>
        <w:t xml:space="preserve">performed according to the method proposed in </w:t>
      </w:r>
      <w:r w:rsidR="001B061E">
        <w:rPr>
          <w:lang w:val="en-US"/>
        </w:rPr>
        <w:t>[</w:t>
      </w:r>
      <w:r w:rsidR="00800E84">
        <w:rPr>
          <w:lang w:val="en-US"/>
        </w:rPr>
        <w:t>2</w:t>
      </w:r>
      <w:r w:rsidR="001B061E">
        <w:rPr>
          <w:lang w:val="en-US"/>
        </w:rPr>
        <w:t>]. This implies an analysis of</w:t>
      </w:r>
      <w:r w:rsidRPr="00BD2726">
        <w:rPr>
          <w:lang w:val="en-US"/>
        </w:rPr>
        <w:t xml:space="preserve"> the dynamics of RL on daily, weekly</w:t>
      </w:r>
      <w:r w:rsidR="001B061E">
        <w:rPr>
          <w:lang w:val="en-US"/>
        </w:rPr>
        <w:t xml:space="preserve">, </w:t>
      </w:r>
      <w:r w:rsidRPr="00BD2726">
        <w:rPr>
          <w:lang w:val="en-US"/>
        </w:rPr>
        <w:t xml:space="preserve">monthly </w:t>
      </w:r>
      <w:r w:rsidR="001B061E">
        <w:rPr>
          <w:lang w:val="en-US"/>
        </w:rPr>
        <w:t>and yearly level. The identified f</w:t>
      </w:r>
      <w:r w:rsidRPr="00BD2726">
        <w:rPr>
          <w:lang w:val="en-US"/>
        </w:rPr>
        <w:t>lexibility needs identified within the respective timescales cannot be added, but they rather measure the variability of RL for the corresponding timescales.</w:t>
      </w:r>
      <w:r w:rsidR="001B061E">
        <w:rPr>
          <w:lang w:val="en-US"/>
        </w:rPr>
        <w:t xml:space="preserve"> Additionally, we will </w:t>
      </w:r>
      <w:r w:rsidR="00B26EDA">
        <w:rPr>
          <w:lang w:val="en-US"/>
        </w:rPr>
        <w:t xml:space="preserve">then </w:t>
      </w:r>
      <w:r w:rsidR="001B061E">
        <w:rPr>
          <w:lang w:val="en-US"/>
        </w:rPr>
        <w:t xml:space="preserve">also </w:t>
      </w:r>
      <w:r w:rsidR="00B26EDA">
        <w:rPr>
          <w:lang w:val="en-US"/>
        </w:rPr>
        <w:t>express</w:t>
      </w:r>
      <w:r w:rsidR="001B061E">
        <w:rPr>
          <w:lang w:val="en-US"/>
        </w:rPr>
        <w:t xml:space="preserve"> the yearly balance of RL to inform on the </w:t>
      </w:r>
      <w:r w:rsidR="00B26EDA">
        <w:rPr>
          <w:lang w:val="en-US"/>
        </w:rPr>
        <w:t xml:space="preserve">respective </w:t>
      </w:r>
      <w:r w:rsidR="001B061E">
        <w:rPr>
          <w:lang w:val="en-US"/>
        </w:rPr>
        <w:t>gap or surplus that may arise</w:t>
      </w:r>
      <w:r w:rsidR="00B26EDA">
        <w:rPr>
          <w:lang w:val="en-US"/>
        </w:rPr>
        <w:t xml:space="preserve"> as well as</w:t>
      </w:r>
      <w:r w:rsidR="00B26EDA" w:rsidRPr="00BD2726">
        <w:rPr>
          <w:lang w:val="en-US"/>
        </w:rPr>
        <w:t xml:space="preserve"> extreme values of </w:t>
      </w:r>
      <w:r w:rsidR="00523DD2">
        <w:rPr>
          <w:lang w:val="en-US"/>
        </w:rPr>
        <w:t>RL</w:t>
      </w:r>
      <w:r w:rsidR="00B26EDA" w:rsidRPr="00BD2726">
        <w:rPr>
          <w:lang w:val="en-US"/>
        </w:rPr>
        <w:t xml:space="preserve"> (in GW) and the hourly gradient/ramp (in GW/h).</w:t>
      </w:r>
    </w:p>
    <w:p w:rsidR="00B26EDA" w:rsidRDefault="00B26EDA" w:rsidP="00BD2726">
      <w:pPr>
        <w:rPr>
          <w:lang w:val="en-US"/>
        </w:rPr>
      </w:pPr>
    </w:p>
    <w:p w:rsidR="003558E8" w:rsidRDefault="00B26EDA" w:rsidP="00BD2726">
      <w:pPr>
        <w:rPr>
          <w:lang w:val="en-US"/>
        </w:rPr>
      </w:pPr>
      <w:r>
        <w:rPr>
          <w:lang w:val="en-US"/>
        </w:rPr>
        <w:t xml:space="preserve">Apart from flexibility needs, modelling will also inform on the contribution of </w:t>
      </w:r>
      <w:r w:rsidR="00523DD2">
        <w:rPr>
          <w:lang w:val="en-US"/>
        </w:rPr>
        <w:t xml:space="preserve">available </w:t>
      </w:r>
      <w:r>
        <w:rPr>
          <w:lang w:val="en-US"/>
        </w:rPr>
        <w:t>flexibility options</w:t>
      </w:r>
      <w:r w:rsidR="00523DD2">
        <w:rPr>
          <w:lang w:val="en-US"/>
        </w:rPr>
        <w:t xml:space="preserve"> (e.g. flexible generation and storage technologies, cross-border exchange, load shifting demand side options, etc.)</w:t>
      </w:r>
      <w:r>
        <w:rPr>
          <w:lang w:val="en-US"/>
        </w:rPr>
        <w:t xml:space="preserve"> for achieving a balance between supply and demand within every hour. We will thus show their contribution in accordance with the depiction of flexibility needs as described above.</w:t>
      </w:r>
    </w:p>
    <w:p w:rsidR="00523DD2" w:rsidRPr="00867054" w:rsidRDefault="00523DD2" w:rsidP="00BD2726">
      <w:pPr>
        <w:rPr>
          <w:lang w:val="en-US"/>
        </w:rPr>
      </w:pPr>
    </w:p>
    <w:p w:rsidR="005E4D4F" w:rsidRPr="00C26976" w:rsidRDefault="006B5252" w:rsidP="00C26976">
      <w:pPr>
        <w:pStyle w:val="berschrift1"/>
        <w:jc w:val="left"/>
        <w:rPr>
          <w:sz w:val="22"/>
          <w:szCs w:val="22"/>
          <w:lang w:val="en-US"/>
        </w:rPr>
      </w:pPr>
      <w:r w:rsidRPr="00C26976">
        <w:rPr>
          <w:sz w:val="22"/>
          <w:szCs w:val="22"/>
          <w:lang w:val="en-US"/>
        </w:rPr>
        <w:lastRenderedPageBreak/>
        <w:t>Results and Conclusions</w:t>
      </w:r>
    </w:p>
    <w:p w:rsidR="00B113D6" w:rsidRDefault="00B113D6" w:rsidP="00DC6E27">
      <w:pPr>
        <w:rPr>
          <w:lang w:val="en-US"/>
        </w:rPr>
      </w:pPr>
      <w:r>
        <w:rPr>
          <w:lang w:val="en-US"/>
        </w:rPr>
        <w:t xml:space="preserve">Modelling is currently ongoing in the course of SECURES and final results are not yet derived. As a sort of appetizer, we show the outcomes of a former analysis in that topical context, </w:t>
      </w:r>
      <w:r w:rsidR="00523DD2">
        <w:rPr>
          <w:lang w:val="en-US"/>
        </w:rPr>
        <w:t>undertaken on behalf of the</w:t>
      </w:r>
      <w:r w:rsidRPr="00B113D6">
        <w:rPr>
          <w:lang w:val="en-US"/>
        </w:rPr>
        <w:t xml:space="preserve"> Austrian Regulatory Authority E-Control </w:t>
      </w:r>
      <w:r>
        <w:rPr>
          <w:lang w:val="en-US"/>
        </w:rPr>
        <w:t xml:space="preserve">in </w:t>
      </w:r>
      <w:r w:rsidRPr="00B113D6">
        <w:rPr>
          <w:lang w:val="en-US"/>
        </w:rPr>
        <w:t>the project “Flexibility Supply and Demand in the Austrian Electricity System 2020/2030”</w:t>
      </w:r>
      <w:r>
        <w:rPr>
          <w:lang w:val="en-US"/>
        </w:rPr>
        <w:t>, cf. [3]</w:t>
      </w:r>
      <w:r w:rsidRPr="00B113D6">
        <w:rPr>
          <w:lang w:val="en-US"/>
        </w:rPr>
        <w:t xml:space="preserve">. </w:t>
      </w:r>
      <w:r w:rsidR="00D4749F">
        <w:rPr>
          <w:lang w:val="en-US"/>
        </w:rPr>
        <w:t xml:space="preserve">Within that study the </w:t>
      </w:r>
      <w:r w:rsidR="00E86265">
        <w:rPr>
          <w:lang w:val="en-US"/>
        </w:rPr>
        <w:t>effects</w:t>
      </w:r>
      <w:r w:rsidR="00D4749F" w:rsidRPr="00D4749F">
        <w:rPr>
          <w:lang w:val="en-US"/>
        </w:rPr>
        <w:t xml:space="preserve"> of the ongoing energy sector transformation within Austria </w:t>
      </w:r>
      <w:r w:rsidR="00D4749F">
        <w:rPr>
          <w:lang w:val="en-US"/>
        </w:rPr>
        <w:t>w</w:t>
      </w:r>
      <w:r w:rsidR="002C0825">
        <w:rPr>
          <w:lang w:val="en-US"/>
        </w:rPr>
        <w:t>ere</w:t>
      </w:r>
      <w:r w:rsidR="00D4749F">
        <w:rPr>
          <w:lang w:val="en-US"/>
        </w:rPr>
        <w:t xml:space="preserve"> incorporated </w:t>
      </w:r>
      <w:r w:rsidR="00D4749F" w:rsidRPr="00D4749F">
        <w:rPr>
          <w:lang w:val="en-US"/>
        </w:rPr>
        <w:t>but possible impact</w:t>
      </w:r>
      <w:r w:rsidR="00D4749F">
        <w:rPr>
          <w:lang w:val="en-US"/>
        </w:rPr>
        <w:t>s</w:t>
      </w:r>
      <w:r w:rsidR="00D4749F" w:rsidRPr="00D4749F">
        <w:rPr>
          <w:lang w:val="en-US"/>
        </w:rPr>
        <w:t xml:space="preserve"> of climate change</w:t>
      </w:r>
      <w:r w:rsidR="00D4749F">
        <w:rPr>
          <w:lang w:val="en-US"/>
        </w:rPr>
        <w:t xml:space="preserve"> were neglected</w:t>
      </w:r>
      <w:r w:rsidR="00D4749F" w:rsidRPr="00D4749F">
        <w:rPr>
          <w:lang w:val="en-US"/>
        </w:rPr>
        <w:t>.</w:t>
      </w:r>
      <w:r w:rsidR="00D4749F">
        <w:rPr>
          <w:lang w:val="en-US"/>
        </w:rPr>
        <w:t xml:space="preserve"> </w:t>
      </w:r>
    </w:p>
    <w:p w:rsidR="00B113D6" w:rsidRDefault="00B113D6" w:rsidP="00DC6E27">
      <w:pPr>
        <w:rPr>
          <w:lang w:val="en-US"/>
        </w:rPr>
      </w:pPr>
    </w:p>
    <w:p w:rsidR="00D4749F" w:rsidRPr="00514CC6" w:rsidRDefault="004E440A" w:rsidP="00D4749F">
      <w:pPr>
        <w:rPr>
          <w:lang w:val="de"/>
        </w:rPr>
      </w:pPr>
      <w:r>
        <w:rPr>
          <w:noProof/>
        </w:rPr>
        <w:drawing>
          <wp:inline distT="0" distB="0" distL="0" distR="0">
            <wp:extent cx="4410075" cy="24479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3975" cy="24574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9F" w:rsidRDefault="00D4749F" w:rsidP="00DC6E27">
      <w:pPr>
        <w:rPr>
          <w:lang w:val="en-US"/>
        </w:rPr>
      </w:pPr>
      <w:r w:rsidRPr="00D4749F">
        <w:rPr>
          <w:lang w:val="en-US"/>
        </w:rPr>
        <w:t>Figure 1: Status quo (2020) and comparison of scenarios (2030) of the temporally subdivided flexibility demand (left) incl. indication of the annual balance of the residual load (right))</w:t>
      </w:r>
      <w:r>
        <w:rPr>
          <w:lang w:val="en-US"/>
        </w:rPr>
        <w:t xml:space="preserve"> (Source: [3])</w:t>
      </w:r>
    </w:p>
    <w:p w:rsidR="00D4749F" w:rsidRDefault="00D4749F" w:rsidP="00DC6E27">
      <w:pPr>
        <w:rPr>
          <w:lang w:val="en-US"/>
        </w:rPr>
      </w:pPr>
    </w:p>
    <w:p w:rsidR="00DC6E27" w:rsidRPr="00DC6E27" w:rsidRDefault="00DC6E27" w:rsidP="00DC6E27">
      <w:pPr>
        <w:rPr>
          <w:lang w:val="en-US"/>
        </w:rPr>
      </w:pPr>
      <w:r w:rsidRPr="00DC6E27">
        <w:rPr>
          <w:lang w:val="en-US"/>
        </w:rPr>
        <w:t xml:space="preserve">A look at the identified </w:t>
      </w:r>
      <w:r w:rsidR="00B113D6">
        <w:rPr>
          <w:lang w:val="en-US"/>
        </w:rPr>
        <w:t>flexibility needs</w:t>
      </w:r>
      <w:r w:rsidRPr="00DC6E27">
        <w:rPr>
          <w:lang w:val="en-US"/>
        </w:rPr>
        <w:t xml:space="preserve"> (Figure 1) shows a </w:t>
      </w:r>
      <w:r w:rsidR="00D4749F">
        <w:rPr>
          <w:lang w:val="en-US"/>
        </w:rPr>
        <w:t xml:space="preserve">moderate </w:t>
      </w:r>
      <w:r w:rsidRPr="00DC6E27">
        <w:rPr>
          <w:lang w:val="en-US"/>
        </w:rPr>
        <w:t xml:space="preserve">increase </w:t>
      </w:r>
      <w:r w:rsidR="00D4749F">
        <w:rPr>
          <w:lang w:val="en-US"/>
        </w:rPr>
        <w:t>(</w:t>
      </w:r>
      <w:r w:rsidRPr="00DC6E27">
        <w:rPr>
          <w:lang w:val="en-US"/>
        </w:rPr>
        <w:t>30% to 33%</w:t>
      </w:r>
      <w:r w:rsidR="00D4749F">
        <w:rPr>
          <w:lang w:val="en-US"/>
        </w:rPr>
        <w:t>)</w:t>
      </w:r>
      <w:r w:rsidRPr="00DC6E27">
        <w:rPr>
          <w:lang w:val="en-US"/>
        </w:rPr>
        <w:t xml:space="preserve"> by 2030 </w:t>
      </w:r>
      <w:r w:rsidR="00D4749F">
        <w:rPr>
          <w:lang w:val="en-US"/>
        </w:rPr>
        <w:t xml:space="preserve">compared to today </w:t>
      </w:r>
      <w:r w:rsidRPr="00DC6E27">
        <w:rPr>
          <w:lang w:val="en-US"/>
        </w:rPr>
        <w:t>in the short term, i.e. with regard to the hourly fluctuations compared to the daily average. In the medium term a similar pattern</w:t>
      </w:r>
      <w:r w:rsidR="00D4749F">
        <w:rPr>
          <w:lang w:val="en-US"/>
        </w:rPr>
        <w:t xml:space="preserve"> is applicable</w:t>
      </w:r>
      <w:r w:rsidRPr="00DC6E27">
        <w:rPr>
          <w:lang w:val="en-US"/>
        </w:rPr>
        <w:t xml:space="preserve">, while in the long term a significant increase in flexibility demand can be observed </w:t>
      </w:r>
      <w:r w:rsidR="00D4749F">
        <w:rPr>
          <w:lang w:val="en-US"/>
        </w:rPr>
        <w:t>(</w:t>
      </w:r>
      <w:r w:rsidRPr="00DC6E27">
        <w:rPr>
          <w:lang w:val="en-US"/>
        </w:rPr>
        <w:t>37% to 81%</w:t>
      </w:r>
      <w:r w:rsidR="00D4749F">
        <w:rPr>
          <w:lang w:val="en-US"/>
        </w:rPr>
        <w:t>)</w:t>
      </w:r>
      <w:r w:rsidRPr="00DC6E27">
        <w:rPr>
          <w:lang w:val="en-US"/>
        </w:rPr>
        <w:t xml:space="preserve">. As can be seen from Figure 1 (right), a comparison of the residual load today and tomorrow in the </w:t>
      </w:r>
      <w:r w:rsidR="00D4749F">
        <w:rPr>
          <w:lang w:val="en-US"/>
        </w:rPr>
        <w:t>yearly</w:t>
      </w:r>
      <w:r w:rsidRPr="00DC6E27">
        <w:rPr>
          <w:lang w:val="en-US"/>
        </w:rPr>
        <w:t xml:space="preserve"> balance shows a significant decrease in the residual load. This reflects the anticipated change in the electricity system, i.e. the massive expansion of renewable energies envisaged </w:t>
      </w:r>
      <w:r w:rsidR="006F101D">
        <w:rPr>
          <w:lang w:val="en-US"/>
        </w:rPr>
        <w:t>within Austria’s according to policy targets for 2030</w:t>
      </w:r>
      <w:r w:rsidRPr="00DC6E27">
        <w:rPr>
          <w:lang w:val="en-US"/>
        </w:rPr>
        <w:t>.</w:t>
      </w:r>
    </w:p>
    <w:p w:rsidR="00712965" w:rsidRDefault="00712965" w:rsidP="00712965">
      <w:pPr>
        <w:rPr>
          <w:lang w:val="en-US"/>
        </w:rPr>
      </w:pPr>
    </w:p>
    <w:p w:rsidR="00E55ADD" w:rsidRPr="009F45ED" w:rsidRDefault="00E55ADD" w:rsidP="00E55ADD">
      <w:pPr>
        <w:pStyle w:val="Ueberschrift"/>
        <w:rPr>
          <w:lang w:val="en-GB"/>
        </w:rPr>
      </w:pPr>
      <w:r w:rsidRPr="009F45ED">
        <w:rPr>
          <w:lang w:val="en-GB"/>
        </w:rPr>
        <w:t xml:space="preserve">Funding </w:t>
      </w:r>
    </w:p>
    <w:p w:rsidR="00E55ADD" w:rsidRDefault="00E55ADD" w:rsidP="00E55ADD">
      <w:pPr>
        <w:rPr>
          <w:rFonts w:ascii="Times New Roman" w:hAnsi="Times New Roman"/>
          <w:szCs w:val="20"/>
          <w:lang w:val="en-US" w:eastAsia="de-DE"/>
        </w:rPr>
      </w:pPr>
      <w:r w:rsidRPr="009F45ED">
        <w:rPr>
          <w:lang w:val="en-US"/>
        </w:rPr>
        <w:t xml:space="preserve">The </w:t>
      </w:r>
      <w:r>
        <w:rPr>
          <w:lang w:val="en-US"/>
        </w:rPr>
        <w:t>p</w:t>
      </w:r>
      <w:r w:rsidRPr="009F45ED">
        <w:rPr>
          <w:lang w:val="en-US"/>
        </w:rPr>
        <w:t>roject SECURES is funded by the Climate and Energy Fund (Klima- und Energiefond</w:t>
      </w:r>
      <w:r>
        <w:rPr>
          <w:lang w:val="en-US"/>
        </w:rPr>
        <w:t>s</w:t>
      </w:r>
      <w:r w:rsidRPr="009F45ED">
        <w:rPr>
          <w:lang w:val="en-US"/>
        </w:rPr>
        <w:t xml:space="preserve">) </w:t>
      </w:r>
      <w:r>
        <w:rPr>
          <w:lang w:val="en-US"/>
        </w:rPr>
        <w:t>under</w:t>
      </w:r>
      <w:r w:rsidRPr="009F45ED">
        <w:rPr>
          <w:lang w:val="en-US"/>
        </w:rPr>
        <w:t xml:space="preserve"> project number KR19AC0K17532.</w:t>
      </w:r>
    </w:p>
    <w:p w:rsidR="00E55ADD" w:rsidRPr="009A1C60" w:rsidRDefault="00E55ADD" w:rsidP="00E55ADD">
      <w:pPr>
        <w:rPr>
          <w:lang w:val="en-GB"/>
        </w:rPr>
      </w:pPr>
    </w:p>
    <w:p w:rsidR="00E55ADD" w:rsidRDefault="00E55ADD" w:rsidP="00E55ADD">
      <w:pPr>
        <w:pStyle w:val="Ueberschrift"/>
        <w:rPr>
          <w:lang w:val="en-GB"/>
        </w:rPr>
      </w:pPr>
      <w:bookmarkStart w:id="3" w:name="_Toc26086066"/>
      <w:bookmarkStart w:id="4" w:name="_Toc68418491"/>
      <w:r w:rsidRPr="009A1C60">
        <w:rPr>
          <w:lang w:val="en-GB"/>
        </w:rPr>
        <w:t>Literatur</w:t>
      </w:r>
      <w:bookmarkEnd w:id="3"/>
      <w:bookmarkEnd w:id="4"/>
      <w:r>
        <w:rPr>
          <w:lang w:val="en-GB"/>
        </w:rPr>
        <w:t>e</w:t>
      </w:r>
    </w:p>
    <w:p w:rsidR="00010E92" w:rsidRDefault="006F101D" w:rsidP="00014F01">
      <w:pPr>
        <w:pStyle w:val="Ueberschrift"/>
        <w:rPr>
          <w:b w:val="0"/>
          <w:sz w:val="20"/>
          <w:lang w:val="en-US"/>
        </w:rPr>
      </w:pPr>
      <w:r w:rsidRPr="006F101D">
        <w:rPr>
          <w:b w:val="0"/>
          <w:sz w:val="20"/>
          <w:lang w:val="en-US"/>
        </w:rPr>
        <w:t>[1] Suna</w:t>
      </w:r>
      <w:r>
        <w:rPr>
          <w:b w:val="0"/>
          <w:sz w:val="20"/>
          <w:lang w:val="en-US"/>
        </w:rPr>
        <w:t>,</w:t>
      </w:r>
      <w:r w:rsidRPr="006F101D">
        <w:rPr>
          <w:b w:val="0"/>
          <w:sz w:val="20"/>
          <w:lang w:val="en-US"/>
        </w:rPr>
        <w:t xml:space="preserve"> D</w:t>
      </w:r>
      <w:r>
        <w:rPr>
          <w:b w:val="0"/>
          <w:sz w:val="20"/>
          <w:lang w:val="en-US"/>
        </w:rPr>
        <w:t>.</w:t>
      </w:r>
      <w:r w:rsidRPr="006F101D">
        <w:rPr>
          <w:b w:val="0"/>
          <w:sz w:val="20"/>
          <w:lang w:val="en-US"/>
        </w:rPr>
        <w:t>et al. (2022). SECURES: Securing Austria’s electricity supply in times of climate change – overview on scenario design and modelling assumptions. Paper (submitted) for the IEWT 2023 conference at TU Wien.</w:t>
      </w:r>
    </w:p>
    <w:p w:rsidR="006F101D" w:rsidRDefault="006F101D" w:rsidP="00014F01">
      <w:pPr>
        <w:pStyle w:val="Ueberschri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[2] </w:t>
      </w:r>
      <w:r w:rsidRPr="006F101D">
        <w:rPr>
          <w:b w:val="0"/>
          <w:sz w:val="20"/>
          <w:lang w:val="en-US"/>
        </w:rPr>
        <w:t>Andrey, C., Attard, P., Bardet, R., Fournié, L., Khallouf, P., 2019. Mainstreaming RES. Flexibility portfolios: design of flexibility portfolios at Member State level to facilitate a cost efficient integration of high shares of renewables. European Commission Directorate-General for Energy, EU.</w:t>
      </w:r>
    </w:p>
    <w:p w:rsidR="00D4749F" w:rsidRPr="006F101D" w:rsidRDefault="00D4749F" w:rsidP="00014F01">
      <w:pPr>
        <w:pStyle w:val="Ueberschri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[3] </w:t>
      </w:r>
      <w:r w:rsidRPr="00D4749F">
        <w:rPr>
          <w:b w:val="0"/>
          <w:sz w:val="20"/>
          <w:lang w:val="en-US"/>
        </w:rPr>
        <w:t xml:space="preserve">Suna, D., Totschnig, G., Schöniger, F., Resch, G., Spreitzhofer, J., Esterl, T., 2022. Assessment of Flexibility Needs and Options for a 100% Renewable Electricity System by 2030 in Austria. Smart Energy, 6 (2022), </w:t>
      </w:r>
      <w:hyperlink r:id="rId10" w:history="1">
        <w:r w:rsidRPr="006C652C">
          <w:rPr>
            <w:rStyle w:val="Hyperlink"/>
            <w:b w:val="0"/>
            <w:sz w:val="20"/>
            <w:lang w:val="en-US"/>
          </w:rPr>
          <w:t>https://doi.org/10.1016/j.segy.2022.100077</w:t>
        </w:r>
      </w:hyperlink>
      <w:r>
        <w:rPr>
          <w:b w:val="0"/>
          <w:sz w:val="20"/>
          <w:lang w:val="en-US"/>
        </w:rPr>
        <w:t xml:space="preserve"> </w:t>
      </w:r>
    </w:p>
    <w:sectPr w:rsidR="00D4749F" w:rsidRPr="006F1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FF" w:rsidRDefault="00590CFF">
      <w:r>
        <w:separator/>
      </w:r>
    </w:p>
  </w:endnote>
  <w:endnote w:type="continuationSeparator" w:id="0">
    <w:p w:rsidR="00590CFF" w:rsidRDefault="0059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FF" w:rsidRDefault="00590CFF">
      <w:r>
        <w:separator/>
      </w:r>
    </w:p>
  </w:footnote>
  <w:footnote w:type="continuationSeparator" w:id="0">
    <w:p w:rsidR="00590CFF" w:rsidRDefault="00590CFF">
      <w:r>
        <w:continuationSeparator/>
      </w:r>
    </w:p>
  </w:footnote>
  <w:footnote w:id="1">
    <w:p w:rsidR="00E44BF0" w:rsidRPr="00FB69AE" w:rsidRDefault="00E44BF0" w:rsidP="00E44BF0">
      <w:r w:rsidRPr="00A115D2">
        <w:rPr>
          <w:rStyle w:val="Funotenzeichen"/>
        </w:rPr>
        <w:footnoteRef/>
      </w:r>
      <w:r w:rsidRPr="00D53E86">
        <w:t xml:space="preserve"> </w:t>
      </w:r>
      <w:r w:rsidR="004960E7">
        <w:t>1040 Wien, Gusshausstrasse 25/370-3</w:t>
      </w:r>
      <w:r>
        <w:t xml:space="preserve">, </w:t>
      </w:r>
      <w:r w:rsidR="00290F43" w:rsidRPr="00290F43">
        <w:t>+</w:t>
      </w:r>
      <w:r w:rsidR="004960E7">
        <w:t>43 1 58801 370354</w:t>
      </w:r>
      <w:r>
        <w:t xml:space="preserve">, </w:t>
      </w:r>
      <w:hyperlink r:id="rId1" w:history="1">
        <w:r w:rsidR="004960E7" w:rsidRPr="00790DE2">
          <w:rPr>
            <w:rStyle w:val="Hyperlink"/>
          </w:rPr>
          <w:t>resch@eeg.tuwien.ac.at</w:t>
        </w:r>
      </w:hyperlink>
      <w:r>
        <w:t xml:space="preserve">, </w:t>
      </w:r>
      <w:hyperlink r:id="rId2" w:history="1">
        <w:r w:rsidR="004960E7" w:rsidRPr="00790DE2">
          <w:rPr>
            <w:rStyle w:val="Hyperlink"/>
          </w:rPr>
          <w:t>www.eeg.tuwien.ac.at</w:t>
        </w:r>
      </w:hyperlink>
      <w:r w:rsidR="004960E7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0E797398"/>
    <w:multiLevelType w:val="hybridMultilevel"/>
    <w:tmpl w:val="A1E8C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5967"/>
    <w:multiLevelType w:val="multilevel"/>
    <w:tmpl w:val="0978BA90"/>
    <w:numStyleLink w:val="Aufzhlung"/>
  </w:abstractNum>
  <w:abstractNum w:abstractNumId="4" w15:restartNumberingAfterBreak="0">
    <w:nsid w:val="69EE135A"/>
    <w:multiLevelType w:val="hybridMultilevel"/>
    <w:tmpl w:val="4BBA93B8"/>
    <w:lvl w:ilvl="0" w:tplc="7902D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E6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0C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C0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C1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E2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4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4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10E92"/>
    <w:rsid w:val="00014F01"/>
    <w:rsid w:val="000716D3"/>
    <w:rsid w:val="000E7D4D"/>
    <w:rsid w:val="001530C3"/>
    <w:rsid w:val="00156BC1"/>
    <w:rsid w:val="00167209"/>
    <w:rsid w:val="001B061E"/>
    <w:rsid w:val="001D1B7F"/>
    <w:rsid w:val="002014D3"/>
    <w:rsid w:val="00203DC8"/>
    <w:rsid w:val="00206B37"/>
    <w:rsid w:val="00211EFA"/>
    <w:rsid w:val="00227125"/>
    <w:rsid w:val="002605DD"/>
    <w:rsid w:val="002607AF"/>
    <w:rsid w:val="00261598"/>
    <w:rsid w:val="00262FD5"/>
    <w:rsid w:val="00276B15"/>
    <w:rsid w:val="00290F43"/>
    <w:rsid w:val="00292116"/>
    <w:rsid w:val="002946B8"/>
    <w:rsid w:val="002A289D"/>
    <w:rsid w:val="002C0825"/>
    <w:rsid w:val="002D7389"/>
    <w:rsid w:val="003251E3"/>
    <w:rsid w:val="00335E63"/>
    <w:rsid w:val="00350F98"/>
    <w:rsid w:val="003558E8"/>
    <w:rsid w:val="00394912"/>
    <w:rsid w:val="003B29A7"/>
    <w:rsid w:val="003B676F"/>
    <w:rsid w:val="003C28FE"/>
    <w:rsid w:val="003E5F7E"/>
    <w:rsid w:val="004637C8"/>
    <w:rsid w:val="004672A2"/>
    <w:rsid w:val="00481FB6"/>
    <w:rsid w:val="00483B87"/>
    <w:rsid w:val="00492095"/>
    <w:rsid w:val="004960E7"/>
    <w:rsid w:val="0049765E"/>
    <w:rsid w:val="004E440A"/>
    <w:rsid w:val="00507AED"/>
    <w:rsid w:val="00523DD2"/>
    <w:rsid w:val="00590CFF"/>
    <w:rsid w:val="005B0691"/>
    <w:rsid w:val="005B1ADB"/>
    <w:rsid w:val="005B2BDE"/>
    <w:rsid w:val="005E4D4F"/>
    <w:rsid w:val="005F3DBD"/>
    <w:rsid w:val="0065380C"/>
    <w:rsid w:val="006B5252"/>
    <w:rsid w:val="006C7A6C"/>
    <w:rsid w:val="006F101D"/>
    <w:rsid w:val="00712965"/>
    <w:rsid w:val="007378C8"/>
    <w:rsid w:val="00741EC0"/>
    <w:rsid w:val="007601C9"/>
    <w:rsid w:val="007A039D"/>
    <w:rsid w:val="007C121F"/>
    <w:rsid w:val="007D638D"/>
    <w:rsid w:val="007E5553"/>
    <w:rsid w:val="007F4CF1"/>
    <w:rsid w:val="00800E84"/>
    <w:rsid w:val="00803917"/>
    <w:rsid w:val="00867054"/>
    <w:rsid w:val="008F16EB"/>
    <w:rsid w:val="008F6B66"/>
    <w:rsid w:val="00901F64"/>
    <w:rsid w:val="009410D4"/>
    <w:rsid w:val="0094783C"/>
    <w:rsid w:val="009F1CFA"/>
    <w:rsid w:val="00A07737"/>
    <w:rsid w:val="00A156E4"/>
    <w:rsid w:val="00A407BA"/>
    <w:rsid w:val="00A6148D"/>
    <w:rsid w:val="00A758CE"/>
    <w:rsid w:val="00AE1F76"/>
    <w:rsid w:val="00B113D6"/>
    <w:rsid w:val="00B26EDA"/>
    <w:rsid w:val="00B97987"/>
    <w:rsid w:val="00BD2726"/>
    <w:rsid w:val="00BD2995"/>
    <w:rsid w:val="00BD4AFC"/>
    <w:rsid w:val="00BF05FA"/>
    <w:rsid w:val="00C01F04"/>
    <w:rsid w:val="00C26976"/>
    <w:rsid w:val="00C37FB9"/>
    <w:rsid w:val="00C51C5F"/>
    <w:rsid w:val="00C63C1D"/>
    <w:rsid w:val="00C92F58"/>
    <w:rsid w:val="00CC6A69"/>
    <w:rsid w:val="00CD462B"/>
    <w:rsid w:val="00CE1A70"/>
    <w:rsid w:val="00D250FA"/>
    <w:rsid w:val="00D4749F"/>
    <w:rsid w:val="00D53E86"/>
    <w:rsid w:val="00D736F8"/>
    <w:rsid w:val="00DC6E27"/>
    <w:rsid w:val="00E44BF0"/>
    <w:rsid w:val="00E458E3"/>
    <w:rsid w:val="00E520E6"/>
    <w:rsid w:val="00E55ADD"/>
    <w:rsid w:val="00E86265"/>
    <w:rsid w:val="00EA50F1"/>
    <w:rsid w:val="00EF3B07"/>
    <w:rsid w:val="00F20449"/>
    <w:rsid w:val="00F70C08"/>
    <w:rsid w:val="00FB69AE"/>
    <w:rsid w:val="00FC33E4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2723-9C28-4CE3-89D7-B241F405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paragraph" w:styleId="berschrift1">
    <w:name w:val="heading 1"/>
    <w:basedOn w:val="Standard"/>
    <w:next w:val="Standard"/>
    <w:link w:val="berschrift1Zchn"/>
    <w:qFormat/>
    <w:rsid w:val="007C121F"/>
    <w:pPr>
      <w:keepNext/>
      <w:spacing w:before="240" w:after="60" w:line="264" w:lineRule="auto"/>
      <w:outlineLvl w:val="0"/>
    </w:pPr>
    <w:rPr>
      <w:rFonts w:cs="Arial"/>
      <w:b/>
      <w:bCs/>
      <w:kern w:val="32"/>
      <w:sz w:val="24"/>
      <w:szCs w:val="32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paragraph" w:customStyle="1" w:styleId="Autoren">
    <w:name w:val="Autoren"/>
    <w:basedOn w:val="Standard"/>
    <w:qFormat/>
    <w:rsid w:val="00E458E3"/>
    <w:pPr>
      <w:spacing w:after="120" w:line="264" w:lineRule="auto"/>
      <w:jc w:val="center"/>
    </w:pPr>
    <w:rPr>
      <w:b/>
      <w:sz w:val="24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character" w:customStyle="1" w:styleId="berschrift1Zchn">
    <w:name w:val="Überschrift 1 Zchn"/>
    <w:link w:val="berschrift1"/>
    <w:rsid w:val="007C121F"/>
    <w:rPr>
      <w:rFonts w:ascii="Arial" w:hAnsi="Arial" w:cs="Arial"/>
      <w:b/>
      <w:bCs/>
      <w:kern w:val="32"/>
      <w:sz w:val="24"/>
      <w:szCs w:val="32"/>
    </w:rPr>
  </w:style>
  <w:style w:type="character" w:styleId="Hyperlink">
    <w:name w:val="Hyperlink"/>
    <w:uiPriority w:val="99"/>
    <w:unhideWhenUsed/>
    <w:rsid w:val="00290F43"/>
    <w:rPr>
      <w:color w:val="0563C1"/>
      <w:u w:val="singl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NichtaufgelsteErwhnung">
    <w:name w:val="Unresolved Mention"/>
    <w:uiPriority w:val="99"/>
    <w:semiHidden/>
    <w:unhideWhenUsed/>
    <w:rsid w:val="00290F43"/>
    <w:rPr>
      <w:color w:val="605E5C"/>
      <w:shd w:val="clear" w:color="auto" w:fill="E1DFDD"/>
    </w:rPr>
  </w:style>
  <w:style w:type="paragraph" w:styleId="Literaturverzeichnis">
    <w:name w:val="Bibliography"/>
    <w:basedOn w:val="Standard"/>
    <w:next w:val="Standard"/>
    <w:uiPriority w:val="37"/>
    <w:unhideWhenUsed/>
    <w:rsid w:val="006C7A6C"/>
    <w:pPr>
      <w:tabs>
        <w:tab w:val="left" w:pos="384"/>
      </w:tabs>
      <w:ind w:left="384" w:hanging="384"/>
    </w:pPr>
  </w:style>
  <w:style w:type="table" w:styleId="Tabellenraster">
    <w:name w:val="Table Grid"/>
    <w:basedOn w:val="NormaleTabelle"/>
    <w:uiPriority w:val="59"/>
    <w:rsid w:val="006B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6705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de-DE"/>
    </w:rPr>
  </w:style>
  <w:style w:type="paragraph" w:styleId="Textkrper2">
    <w:name w:val="Body Text 2"/>
    <w:basedOn w:val="Standard"/>
    <w:link w:val="Textkrper2Zchn"/>
    <w:rsid w:val="00DC6E27"/>
    <w:pPr>
      <w:ind w:firstLine="360"/>
    </w:pPr>
    <w:rPr>
      <w:rFonts w:ascii="Times New Roman" w:hAnsi="Times New Roman"/>
      <w:szCs w:val="20"/>
      <w:lang w:val="en-GB" w:eastAsia="en-US"/>
    </w:rPr>
  </w:style>
  <w:style w:type="character" w:customStyle="1" w:styleId="Textkrper2Zchn">
    <w:name w:val="Textkörper 2 Zchn"/>
    <w:link w:val="Textkrper2"/>
    <w:rsid w:val="00DC6E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6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segy.2022.1000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g.tuwien.ac.at" TargetMode="External"/><Relationship Id="rId1" Type="http://schemas.openxmlformats.org/officeDocument/2006/relationships/hyperlink" Target="mailto:resch@eeg.tuwien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53ED-38D7-4BD2-AD3A-AF8D188A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5640</CharactersWithSpaces>
  <SharedDoc>false</SharedDoc>
  <HLinks>
    <vt:vector size="18" baseType="variant"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https://doi.org/10.1016/j.segy.2022.100077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http://www.eeg.tuwien.ac.at/</vt:lpwstr>
      </vt:variant>
      <vt:variant>
        <vt:lpwstr/>
      </vt:variant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mailto:resch@eeg.tuwien.ac.at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Gustav Resch</cp:lastModifiedBy>
  <cp:revision>2</cp:revision>
  <dcterms:created xsi:type="dcterms:W3CDTF">2022-11-22T20:09:00Z</dcterms:created>
  <dcterms:modified xsi:type="dcterms:W3CDTF">2022-11-22T20:09:00Z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id="RaaDanRK"/&gt;&lt;style id="http://www.zotero.org/styles/ieee" locale="en-GB" hasBibliography="1" bibliographyStyleHasBeenSet="1"/&gt;&lt;prefs&gt;&lt;pref name="fieldType" value="Field"/&gt;&lt;pref name="automaticJo</vt:lpwstr>
  </property>
  <property fmtid="{D5CDD505-2E9C-101B-9397-08002B2CF9AE}" pid="3" name="ZOTERO_PREF_2">
    <vt:lpwstr>urnalAbbreviations" value="true"/&gt;&lt;/prefs&gt;&lt;/data&gt;</vt:lpwstr>
  </property>
</Properties>
</file>