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DB72" w14:textId="77777777" w:rsidR="005B23D3" w:rsidRDefault="005B23D3" w:rsidP="00A156E4">
      <w:pPr>
        <w:pStyle w:val="AutorenOrganisation"/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</w:pPr>
      <w:r w:rsidRPr="005B23D3">
        <w:rPr>
          <w:b/>
          <w:snapToGrid w:val="0"/>
          <w:color w:val="auto"/>
          <w:spacing w:val="0"/>
          <w:kern w:val="28"/>
          <w:sz w:val="32"/>
          <w:szCs w:val="20"/>
          <w:lang w:val="de-DE" w:eastAsia="en-US"/>
        </w:rPr>
        <w:t>Sanierung vs. Ersatzneubau – Analyse der Klimawirkungen unter Berücksichtigung der Herstellungs- und Nutzungsphase</w:t>
      </w:r>
    </w:p>
    <w:p w14:paraId="0E6A75CA" w14:textId="77777777" w:rsidR="00BF05FA" w:rsidRDefault="00BF05FA" w:rsidP="00A156E4">
      <w:pPr>
        <w:pStyle w:val="AutorenOrganisation"/>
      </w:pPr>
      <w:r w:rsidRPr="00756C45">
        <w:t>Themenbereich</w:t>
      </w:r>
      <w:r w:rsidR="00317E1F" w:rsidRPr="00756C45">
        <w:t xml:space="preserve"> </w:t>
      </w:r>
      <w:r w:rsidR="0070710B">
        <w:t>8</w:t>
      </w:r>
      <w:r w:rsidR="00317E1F" w:rsidRPr="00756C45">
        <w:t xml:space="preserve">: </w:t>
      </w:r>
      <w:r w:rsidR="0070710B">
        <w:t>Kreislaufwirtschaft</w:t>
      </w:r>
      <w:r w:rsidR="00F247F1">
        <w:t xml:space="preserve"> (alternativ: 4 Gebäudesektor)</w:t>
      </w:r>
    </w:p>
    <w:p w14:paraId="253583E7" w14:textId="77777777" w:rsidR="00317E1F" w:rsidRPr="005E4D4F" w:rsidRDefault="00317E1F" w:rsidP="00317E1F">
      <w:pPr>
        <w:pStyle w:val="AutorenOrganisation"/>
      </w:pPr>
      <w:r>
        <w:t>Tilman HESSE</w:t>
      </w:r>
      <w:r w:rsidR="00A156E4" w:rsidRPr="00A156E4">
        <w:rPr>
          <w:vertAlign w:val="superscript"/>
        </w:rPr>
        <w:t>(</w:t>
      </w:r>
      <w:proofErr w:type="gramStart"/>
      <w:r>
        <w:rPr>
          <w:vertAlign w:val="superscript"/>
        </w:rPr>
        <w:t>1</w:t>
      </w:r>
      <w:r w:rsidR="0070710B">
        <w:rPr>
          <w:vertAlign w:val="superscript"/>
        </w:rPr>
        <w:t>,x</w:t>
      </w:r>
      <w:proofErr w:type="gramEnd"/>
      <w:r>
        <w:rPr>
          <w:vertAlign w:val="superscript"/>
        </w:rPr>
        <w:t>)</w:t>
      </w:r>
      <w:r w:rsidRPr="005E4D4F">
        <w:t xml:space="preserve">, </w:t>
      </w:r>
      <w:r w:rsidR="0091503B">
        <w:t>Sibylle BRAUNGARDT</w:t>
      </w:r>
      <w:r w:rsidR="0091503B" w:rsidRPr="00A156E4">
        <w:rPr>
          <w:vertAlign w:val="superscript"/>
        </w:rPr>
        <w:t>(</w:t>
      </w:r>
      <w:r w:rsidR="0091503B">
        <w:rPr>
          <w:vertAlign w:val="superscript"/>
        </w:rPr>
        <w:t>1)</w:t>
      </w:r>
      <w:r w:rsidR="0091503B">
        <w:t xml:space="preserve">, </w:t>
      </w:r>
      <w:r w:rsidR="005B23D3">
        <w:t>Jürgen SUTTER</w:t>
      </w:r>
      <w:r w:rsidR="005B23D3" w:rsidRPr="00A156E4">
        <w:rPr>
          <w:vertAlign w:val="superscript"/>
        </w:rPr>
        <w:t>(</w:t>
      </w:r>
      <w:r w:rsidR="005B23D3">
        <w:rPr>
          <w:vertAlign w:val="superscript"/>
        </w:rPr>
        <w:t>1)</w:t>
      </w:r>
      <w:r w:rsidR="005B23D3">
        <w:t xml:space="preserve">, </w:t>
      </w:r>
      <w:r>
        <w:t>Christian WINGER</w:t>
      </w:r>
      <w:r w:rsidRPr="00A156E4">
        <w:rPr>
          <w:vertAlign w:val="superscript"/>
        </w:rPr>
        <w:t>(</w:t>
      </w:r>
      <w:r>
        <w:rPr>
          <w:vertAlign w:val="superscript"/>
        </w:rPr>
        <w:t>1)</w:t>
      </w:r>
    </w:p>
    <w:p w14:paraId="1111ED44" w14:textId="77777777" w:rsidR="005E4D4F" w:rsidRPr="005E4D4F" w:rsidRDefault="005E4D4F" w:rsidP="00A156E4">
      <w:pPr>
        <w:pStyle w:val="AutorenOrganisation"/>
      </w:pPr>
    </w:p>
    <w:p w14:paraId="77C813F4" w14:textId="77777777" w:rsidR="005E4D4F" w:rsidRDefault="00A156E4" w:rsidP="005E4D4F">
      <w:pPr>
        <w:pStyle w:val="AutorenOrganisation"/>
      </w:pPr>
      <w:r>
        <w:rPr>
          <w:vertAlign w:val="superscript"/>
        </w:rPr>
        <w:t>(</w:t>
      </w:r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4C2873">
        <w:rPr>
          <w:vertAlign w:val="superscript"/>
        </w:rPr>
        <w:t xml:space="preserve"> </w:t>
      </w:r>
      <w:r w:rsidR="00317E1F">
        <w:t xml:space="preserve">Öko-Institut e.V., Merzhauser Str. </w:t>
      </w:r>
      <w:r w:rsidR="00317E1F" w:rsidRPr="00317E1F">
        <w:t>173, D-79100 Freiburg</w:t>
      </w:r>
      <w:r w:rsidR="00317E1F">
        <w:t>, Deutschland</w:t>
      </w:r>
    </w:p>
    <w:p w14:paraId="51B27811" w14:textId="77777777" w:rsidR="0070710B" w:rsidRDefault="0070710B" w:rsidP="005E4D4F">
      <w:pPr>
        <w:pStyle w:val="AutorenOrganisation"/>
      </w:pPr>
      <w:r w:rsidRPr="0070710B">
        <w:rPr>
          <w:vertAlign w:val="superscript"/>
        </w:rPr>
        <w:t>(x)</w:t>
      </w:r>
      <w:r>
        <w:t xml:space="preserve"> +49 761 45295-287, </w:t>
      </w:r>
      <w:hyperlink r:id="rId8" w:history="1">
        <w:r w:rsidRPr="00F33202">
          <w:rPr>
            <w:rStyle w:val="Hyperlink"/>
          </w:rPr>
          <w:t>t.hesse@oeko.de</w:t>
        </w:r>
      </w:hyperlink>
    </w:p>
    <w:p w14:paraId="46B50AE7" w14:textId="77777777" w:rsidR="00A07737" w:rsidRPr="005E4D4F" w:rsidRDefault="00A07737" w:rsidP="00FB69AE">
      <w:pPr>
        <w:rPr>
          <w:lang w:val="de-AT"/>
        </w:rPr>
      </w:pPr>
    </w:p>
    <w:p w14:paraId="2A701AE2" w14:textId="77777777" w:rsidR="005E4D4F" w:rsidRPr="005E4D4F" w:rsidRDefault="009040B4" w:rsidP="005E4D4F">
      <w:pPr>
        <w:pStyle w:val="Ueberschrift"/>
      </w:pPr>
      <w:r>
        <w:t>Z</w:t>
      </w:r>
      <w:r w:rsidR="005E4D4F" w:rsidRPr="005E4D4F">
        <w:t>entrale Fragestellung</w:t>
      </w:r>
    </w:p>
    <w:p w14:paraId="29C41736" w14:textId="77777777" w:rsidR="0024032F" w:rsidRDefault="006A06D6" w:rsidP="00166ECD">
      <w:r>
        <w:t>Der f</w:t>
      </w:r>
      <w:r w:rsidR="00166ECD">
        <w:t>ortschreitende Klimawandel</w:t>
      </w:r>
      <w:r>
        <w:t xml:space="preserve"> und die Bemühungen diesen </w:t>
      </w:r>
      <w:r w:rsidR="0024032F">
        <w:t>einzudämmen,</w:t>
      </w:r>
      <w:r>
        <w:t xml:space="preserve"> machen im Gebäudebereich die </w:t>
      </w:r>
      <w:r w:rsidR="00751EC8">
        <w:t xml:space="preserve">Bereitstellung von </w:t>
      </w:r>
      <w:r w:rsidR="00BF5AD9">
        <w:t xml:space="preserve">energieeffizientem </w:t>
      </w:r>
      <w:r w:rsidR="00751EC8">
        <w:t>Wohnraum</w:t>
      </w:r>
      <w:r w:rsidR="00166ECD">
        <w:t xml:space="preserve"> </w:t>
      </w:r>
      <w:r w:rsidR="0024032F">
        <w:t>zu einer zentralen Herausforderung</w:t>
      </w:r>
      <w:r w:rsidR="00166ECD">
        <w:t xml:space="preserve">. </w:t>
      </w:r>
      <w:r>
        <w:t xml:space="preserve">Wie eine gelungene Wärmewende </w:t>
      </w:r>
      <w:r w:rsidR="00502CA9">
        <w:t xml:space="preserve">insbesondere im Gebäudebestand </w:t>
      </w:r>
      <w:r>
        <w:t xml:space="preserve">ausgestaltet werden kann, wird </w:t>
      </w:r>
      <w:r w:rsidR="0024032F">
        <w:t xml:space="preserve">jedoch </w:t>
      </w:r>
      <w:r>
        <w:t xml:space="preserve">teilweise kontrovers diskutiert. Gerade bei energetisch schlechten Gebäuden mit hohen Wärmeverbräuchen wird immer wieder anstelle einer umfassenden energetischen Sanierung der Ersatzneubau </w:t>
      </w:r>
      <w:r w:rsidR="0024032F">
        <w:t>ins Spiel gebracht</w:t>
      </w:r>
      <w:r>
        <w:t>.</w:t>
      </w:r>
      <w:r w:rsidR="00710723">
        <w:t xml:space="preserve"> </w:t>
      </w:r>
      <w:r w:rsidR="0024032F">
        <w:t xml:space="preserve">Dieser bietet an mancher Stelle Vorteile: so können Grundrisse und Zimmerzuschnitte leicht an die heute gängigen Wünsche angepasst werden und ein hoher energetischer Standard </w:t>
      </w:r>
      <w:r w:rsidR="00502CA9">
        <w:t>kostengünstiger</w:t>
      </w:r>
      <w:r w:rsidR="0024032F">
        <w:t xml:space="preserve"> umgesetzt werden als bei einer vergleichsweise aufwändigen Sanierung. Gleichzeitig </w:t>
      </w:r>
      <w:r w:rsidR="00502CA9">
        <w:t>entstehen durch einen Neubau je nach Bauweise erhebliche „Graue Emissionen“. Ist also ein Ersatzneubau eine ernsthafte Option, oder sollte doch nach Möglichkeit versucht werden</w:t>
      </w:r>
      <w:r w:rsidR="005B23D3">
        <w:t>,</w:t>
      </w:r>
      <w:r w:rsidR="00502CA9">
        <w:t xml:space="preserve"> alte Gebäude nicht abzureißen</w:t>
      </w:r>
      <w:r w:rsidR="002E6A3C">
        <w:t>,</w:t>
      </w:r>
      <w:r w:rsidR="00502CA9">
        <w:t xml:space="preserve"> sondern sie energetisch zu sanieren?</w:t>
      </w:r>
    </w:p>
    <w:p w14:paraId="62BB348D" w14:textId="77777777" w:rsidR="0024032F" w:rsidRDefault="0024032F" w:rsidP="00166ECD"/>
    <w:p w14:paraId="42DBFF6E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0CE3029E" w14:textId="77777777" w:rsidR="00DA56DF" w:rsidRDefault="00502CA9" w:rsidP="004F66BE">
      <w:r>
        <w:t xml:space="preserve">Die Beantwortung dieser Frage </w:t>
      </w:r>
      <w:r w:rsidR="008212A5">
        <w:t>erfolgte</w:t>
      </w:r>
      <w:r>
        <w:t xml:space="preserve"> m</w:t>
      </w:r>
      <w:r w:rsidR="00DA56DF">
        <w:t xml:space="preserve">ithilfe </w:t>
      </w:r>
      <w:r w:rsidR="008212A5">
        <w:t xml:space="preserve">eines </w:t>
      </w:r>
      <w:r>
        <w:t>Quartiers-</w:t>
      </w:r>
      <w:r w:rsidR="00DA56DF">
        <w:t>Analyse-Tools</w:t>
      </w:r>
      <w:r>
        <w:t xml:space="preserve">. Das Tool beschreibt </w:t>
      </w:r>
      <w:r w:rsidR="00DA56DF">
        <w:t xml:space="preserve">die Transformation von Quartiers-Gebäudebeständen </w:t>
      </w:r>
      <w:r>
        <w:t>und er</w:t>
      </w:r>
      <w:r w:rsidR="0053411B">
        <w:t xml:space="preserve">möglicht </w:t>
      </w:r>
      <w:r w:rsidR="00DA56DF">
        <w:t xml:space="preserve">einen Vergleich zwischen der grundlegenden energetischen Sanierung </w:t>
      </w:r>
      <w:r w:rsidR="0053411B">
        <w:t>der</w:t>
      </w:r>
      <w:r w:rsidR="00DA56DF">
        <w:t xml:space="preserve"> Bestand</w:t>
      </w:r>
      <w:r w:rsidR="0053411B">
        <w:t>s</w:t>
      </w:r>
      <w:r w:rsidR="00DA56DF">
        <w:t>gebäude gegenüber Ersatzneubauten.</w:t>
      </w:r>
      <w:r w:rsidR="0053411B">
        <w:t xml:space="preserve"> Zusätzlich können unterschiedliche Neubauweisen verglichen werden. Die Vergleichsgrößen sind dabei das Global Warming Potential </w:t>
      </w:r>
      <w:r w:rsidR="005B23D3">
        <w:t xml:space="preserve">(GWP) </w:t>
      </w:r>
      <w:r w:rsidR="0053411B">
        <w:t>und der Primärenergieaufwand in der Herstellungsphase der verschiedenen am Bau benötigten Komponenten (neben dem Rohbau werden auch die Dämmung, die Wärmeerzeuger, PV-Anlagen etc. betrachtet), sowie der THG</w:t>
      </w:r>
      <w:r w:rsidR="004F66BE">
        <w:t>-</w:t>
      </w:r>
      <w:r w:rsidR="0053411B">
        <w:t xml:space="preserve">Ausstoß </w:t>
      </w:r>
      <w:r w:rsidR="004F66BE">
        <w:t xml:space="preserve">und Endenergiebedarf </w:t>
      </w:r>
      <w:r w:rsidR="0053411B">
        <w:t>im laufenden Betrieb. Weitere betrachtete Umweltwirkungskategorien sind das Eutrophierungspotenzial, das Versauerungspotenzial</w:t>
      </w:r>
      <w:r w:rsidR="004F66BE">
        <w:t>, das Abbaupotenzial für stratosphärisches Ozon sowie das Bildungspotenzial für troposphärisches Ozon. Das Quartiers-Analyse-Tool wurde im Rahmen des Projekts „Nachhaltige Nutzung erneuerbarer Energien in effizienten Gebäuden und Quartieren“ des Umweltbundesamts weiterentwickelt (FKZ: 3717 43 103 0).</w:t>
      </w:r>
      <w:r w:rsidR="008212A5">
        <w:t xml:space="preserve"> </w:t>
      </w:r>
    </w:p>
    <w:p w14:paraId="7BE83133" w14:textId="77777777" w:rsidR="00DA56DF" w:rsidRDefault="00DA56DF" w:rsidP="00227125"/>
    <w:p w14:paraId="15B46E83" w14:textId="77777777" w:rsidR="005E4D4F" w:rsidRDefault="005E4D4F" w:rsidP="005E4D4F">
      <w:pPr>
        <w:pStyle w:val="Ueberschrift"/>
      </w:pPr>
      <w:r w:rsidRPr="005E4D4F">
        <w:t>Ergebnisse</w:t>
      </w:r>
    </w:p>
    <w:p w14:paraId="46004A2B" w14:textId="77777777" w:rsidR="00191C5C" w:rsidRPr="00CC5BBC" w:rsidRDefault="009C0975" w:rsidP="00695732">
      <w:r w:rsidRPr="00CC5BBC">
        <w:t>Im Ergebnis zeigt sich, dass</w:t>
      </w:r>
      <w:r w:rsidR="00DC4DE0" w:rsidRPr="00CC5BBC">
        <w:t xml:space="preserve"> </w:t>
      </w:r>
      <w:r w:rsidR="008406B5" w:rsidRPr="00CC5BBC">
        <w:t xml:space="preserve">selbst eine Sanierung auf ein hohes Effizienzniveau </w:t>
      </w:r>
      <w:r w:rsidR="00CC5BBC" w:rsidRPr="00CC5BBC">
        <w:t>(Abb</w:t>
      </w:r>
      <w:r w:rsidR="00695732">
        <w:t xml:space="preserve">. </w:t>
      </w:r>
      <w:r w:rsidR="00CC5BBC" w:rsidRPr="00CC5BBC">
        <w:t xml:space="preserve">1, links) </w:t>
      </w:r>
      <w:r w:rsidR="008406B5" w:rsidRPr="00CC5BBC">
        <w:t>bei</w:t>
      </w:r>
      <w:r w:rsidR="000467A1">
        <w:t xml:space="preserve"> den THG-Emissionen</w:t>
      </w:r>
      <w:r w:rsidR="008406B5" w:rsidRPr="00CC5BBC">
        <w:t xml:space="preserve"> deutlich besser abschneidet als ein Neubau in Massivbauweise</w:t>
      </w:r>
      <w:r w:rsidR="00CC5BBC" w:rsidRPr="00CC5BBC">
        <w:t xml:space="preserve"> (Abb</w:t>
      </w:r>
      <w:r w:rsidR="00695732">
        <w:t xml:space="preserve">. </w:t>
      </w:r>
      <w:r w:rsidR="00CC5BBC" w:rsidRPr="00CC5BBC">
        <w:t xml:space="preserve">1, rechts). </w:t>
      </w:r>
    </w:p>
    <w:p w14:paraId="142A1E67" w14:textId="77777777" w:rsidR="008406B5" w:rsidRDefault="008406B5" w:rsidP="008406B5">
      <w:pPr>
        <w:rPr>
          <w:noProof/>
        </w:rPr>
      </w:pPr>
      <w:r w:rsidRPr="00737308">
        <w:rPr>
          <w:noProof/>
        </w:rPr>
        <w:pict w14:anchorId="59408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225.25pt;height:157.1pt;visibility:visible">
            <v:imagedata r:id="rId9" o:title=""/>
          </v:shape>
        </w:pict>
      </w:r>
      <w:r w:rsidRPr="00737308">
        <w:rPr>
          <w:noProof/>
        </w:rPr>
        <w:pict w14:anchorId="1ACCA253">
          <v:shape id="_x0000_i1026" type="#_x0000_t75" style="width:223.65pt;height:156pt;visibility:visible">
            <v:imagedata r:id="rId10" o:title=""/>
          </v:shape>
        </w:pict>
      </w:r>
    </w:p>
    <w:p w14:paraId="2EDD1389" w14:textId="77777777" w:rsidR="00CC5BBC" w:rsidRPr="002946B8" w:rsidRDefault="00CC5BBC" w:rsidP="00CC5BBC">
      <w:pPr>
        <w:pStyle w:val="Abbildungsbeschriftung"/>
      </w:pPr>
      <w:r w:rsidRPr="002946B8">
        <w:t xml:space="preserve">Abbildung 1: </w:t>
      </w:r>
      <w:r>
        <w:t>Ambitionierte Sanierung (links) vs. Ersatzneubau in Massivbauweise (rechts)</w:t>
      </w:r>
    </w:p>
    <w:p w14:paraId="7243387F" w14:textId="77777777" w:rsidR="00CC5BBC" w:rsidRPr="00CC5BBC" w:rsidRDefault="00CC5BBC" w:rsidP="00695732">
      <w:r w:rsidRPr="00CC5BBC">
        <w:lastRenderedPageBreak/>
        <w:t>In der Darstellung sind die THG-Emissionen der Erstellungsphase annuisiert über die Lebensdauer des betroffenen Bauelements/Technik.</w:t>
      </w:r>
    </w:p>
    <w:p w14:paraId="17DB5627" w14:textId="77777777" w:rsidR="00CC5BBC" w:rsidRDefault="000467A1" w:rsidP="008406B5">
      <w:pPr>
        <w:rPr>
          <w:noProof/>
        </w:rPr>
      </w:pPr>
      <w:r>
        <w:rPr>
          <w:noProof/>
        </w:rPr>
        <w:t>Auch bei der Betrachtung des Primärenergieaufwands zeigt die amibtionierte Sanierung geringere Werte auf im Vergleich zum Ersatzneubau (Abb</w:t>
      </w:r>
      <w:r w:rsidR="00695732">
        <w:rPr>
          <w:noProof/>
        </w:rPr>
        <w:t xml:space="preserve">. </w:t>
      </w:r>
      <w:r>
        <w:rPr>
          <w:noProof/>
        </w:rPr>
        <w:t>2).</w:t>
      </w:r>
    </w:p>
    <w:p w14:paraId="5484CCF1" w14:textId="77777777" w:rsidR="000467A1" w:rsidRDefault="00695732" w:rsidP="008406B5">
      <w:pPr>
        <w:rPr>
          <w:noProof/>
        </w:rPr>
      </w:pPr>
      <w:r w:rsidRPr="00737308">
        <w:rPr>
          <w:noProof/>
        </w:rPr>
        <w:pict w14:anchorId="377C136F">
          <v:shape id="_x0000_i1027" type="#_x0000_t75" style="width:226.9pt;height:158.2pt;visibility:visible">
            <v:imagedata r:id="rId11" o:title=""/>
          </v:shape>
        </w:pict>
      </w:r>
      <w:r w:rsidR="000467A1" w:rsidRPr="00737308">
        <w:rPr>
          <w:noProof/>
        </w:rPr>
        <w:pict w14:anchorId="2E025587">
          <v:shape id="_x0000_i1028" type="#_x0000_t75" style="width:225.8pt;height:157.65pt;visibility:visible">
            <v:imagedata r:id="rId12" o:title=""/>
          </v:shape>
        </w:pict>
      </w:r>
    </w:p>
    <w:p w14:paraId="05B70AED" w14:textId="77777777" w:rsidR="000467A1" w:rsidRPr="002946B8" w:rsidRDefault="000467A1" w:rsidP="000467A1">
      <w:pPr>
        <w:pStyle w:val="Abbildungsbeschriftung"/>
      </w:pPr>
      <w:r w:rsidRPr="002946B8">
        <w:t xml:space="preserve">Abbildung </w:t>
      </w:r>
      <w:r>
        <w:t>2</w:t>
      </w:r>
      <w:r w:rsidRPr="002946B8">
        <w:t xml:space="preserve">: </w:t>
      </w:r>
      <w:r>
        <w:t>Primärenergieaufwand: Sanierung (links) vs. Ersatzneubau in Massivbauweise (rechts)</w:t>
      </w:r>
    </w:p>
    <w:p w14:paraId="5A2AE39D" w14:textId="77777777" w:rsidR="000467A1" w:rsidRDefault="000467A1" w:rsidP="008406B5">
      <w:pPr>
        <w:rPr>
          <w:noProof/>
        </w:rPr>
      </w:pPr>
    </w:p>
    <w:p w14:paraId="3A6ADCBF" w14:textId="77777777" w:rsidR="000467A1" w:rsidRDefault="000467A1" w:rsidP="008406B5">
      <w:pPr>
        <w:rPr>
          <w:noProof/>
        </w:rPr>
      </w:pPr>
      <w:r>
        <w:rPr>
          <w:noProof/>
        </w:rPr>
        <w:t>Betrechtat man hingegen einen Ersatzneubau in Holztafelbauweise, so ergibt sich ein anderes Bild (vgl. Abb. 3).</w:t>
      </w:r>
      <w:r w:rsidR="00695732">
        <w:rPr>
          <w:noProof/>
        </w:rPr>
        <w:t xml:space="preserve"> Bei den THG-Emissionen (Abb. 3, links) erfolgt durch die Holztafelbauweise sogar eine THG-Gutschrift für die Gebäude. Beim Primärenergieaufwand (Abb. 3, rechts) liegt der Wert für den Neubau in Holztafelbauweise ca. um 50% niedriger als bei der Massivbauweise (Abb. 2, rechts).</w:t>
      </w:r>
    </w:p>
    <w:p w14:paraId="30A355A4" w14:textId="77777777" w:rsidR="000467A1" w:rsidRDefault="008406B5" w:rsidP="008406B5">
      <w:pPr>
        <w:rPr>
          <w:noProof/>
        </w:rPr>
      </w:pPr>
      <w:r w:rsidRPr="00737308">
        <w:rPr>
          <w:noProof/>
        </w:rPr>
        <w:pict w14:anchorId="2A97EB78">
          <v:shape id="_x0000_i1029" type="#_x0000_t75" style="width:225.8pt;height:157.65pt;visibility:visible">
            <v:imagedata r:id="rId13" o:title=""/>
          </v:shape>
        </w:pict>
      </w:r>
      <w:r w:rsidR="000467A1" w:rsidRPr="00737308">
        <w:rPr>
          <w:noProof/>
        </w:rPr>
        <w:pict w14:anchorId="213122C0">
          <v:shape id="_x0000_i1030" type="#_x0000_t75" style="width:226.9pt;height:157.65pt;visibility:visible">
            <v:imagedata r:id="rId14" o:title=""/>
          </v:shape>
        </w:pict>
      </w:r>
    </w:p>
    <w:p w14:paraId="05194EA5" w14:textId="77777777" w:rsidR="000467A1" w:rsidRPr="002946B8" w:rsidRDefault="000467A1" w:rsidP="000467A1">
      <w:pPr>
        <w:pStyle w:val="Abbildungsbeschriftung"/>
      </w:pPr>
      <w:r w:rsidRPr="002946B8">
        <w:t xml:space="preserve">Abbildung </w:t>
      </w:r>
      <w:r>
        <w:t>3</w:t>
      </w:r>
      <w:r w:rsidRPr="002946B8">
        <w:t xml:space="preserve">: </w:t>
      </w:r>
      <w:r>
        <w:t>Ersatzneubau in Holztafelbauweise</w:t>
      </w:r>
      <w:r w:rsidR="00695732">
        <w:t xml:space="preserve">: THG-Emissionen (links) und </w:t>
      </w:r>
      <w:r>
        <w:t>Primärenergieaufwand</w:t>
      </w:r>
      <w:r w:rsidR="00695732">
        <w:t xml:space="preserve"> (rechts)</w:t>
      </w:r>
    </w:p>
    <w:p w14:paraId="36EAD028" w14:textId="77777777" w:rsidR="000467A1" w:rsidRDefault="000467A1" w:rsidP="008406B5">
      <w:pPr>
        <w:rPr>
          <w:noProof/>
        </w:rPr>
      </w:pPr>
    </w:p>
    <w:p w14:paraId="69405B8E" w14:textId="77777777" w:rsidR="009040B4" w:rsidRPr="008406B5" w:rsidRDefault="009040B4" w:rsidP="008406B5">
      <w:pPr>
        <w:rPr>
          <w:b/>
          <w:sz w:val="22"/>
          <w:szCs w:val="22"/>
        </w:rPr>
      </w:pPr>
      <w:r w:rsidRPr="008406B5">
        <w:rPr>
          <w:b/>
          <w:sz w:val="22"/>
          <w:szCs w:val="22"/>
        </w:rPr>
        <w:t>Schlussfolgerungen</w:t>
      </w:r>
    </w:p>
    <w:p w14:paraId="65054C4C" w14:textId="77777777" w:rsidR="00317E1F" w:rsidRDefault="004C2873" w:rsidP="004C2873">
      <w:pPr>
        <w:pStyle w:val="Ueberschrift"/>
        <w:rPr>
          <w:b w:val="0"/>
        </w:rPr>
      </w:pPr>
      <w:r>
        <w:rPr>
          <w:b w:val="0"/>
        </w:rPr>
        <w:t xml:space="preserve">Die Analysen zeigen, dass ein Ersatzneubau </w:t>
      </w:r>
      <w:r w:rsidR="00102EC0">
        <w:rPr>
          <w:b w:val="0"/>
        </w:rPr>
        <w:t xml:space="preserve">in Massivbauweise hinsichtlich </w:t>
      </w:r>
      <w:r w:rsidR="00DB24A5">
        <w:rPr>
          <w:b w:val="0"/>
        </w:rPr>
        <w:t xml:space="preserve">der </w:t>
      </w:r>
      <w:r w:rsidR="00102EC0">
        <w:rPr>
          <w:b w:val="0"/>
        </w:rPr>
        <w:t xml:space="preserve">THG-Emissionen und </w:t>
      </w:r>
      <w:r w:rsidR="00DB24A5">
        <w:rPr>
          <w:b w:val="0"/>
        </w:rPr>
        <w:t xml:space="preserve">des </w:t>
      </w:r>
      <w:r w:rsidR="00102EC0">
        <w:rPr>
          <w:b w:val="0"/>
        </w:rPr>
        <w:t>Primärenergieaufwand</w:t>
      </w:r>
      <w:r w:rsidR="00DB24A5">
        <w:rPr>
          <w:b w:val="0"/>
        </w:rPr>
        <w:t>s</w:t>
      </w:r>
      <w:r w:rsidR="00102EC0">
        <w:rPr>
          <w:b w:val="0"/>
        </w:rPr>
        <w:t xml:space="preserve"> </w:t>
      </w:r>
      <w:r w:rsidR="00DB24A5">
        <w:rPr>
          <w:b w:val="0"/>
        </w:rPr>
        <w:t xml:space="preserve">nur eine schlechte </w:t>
      </w:r>
      <w:r>
        <w:rPr>
          <w:b w:val="0"/>
        </w:rPr>
        <w:t xml:space="preserve">Alternative zu einer ambitionierten Sanierung auf ein hohes Effizienzniveau </w:t>
      </w:r>
      <w:r w:rsidR="00102EC0">
        <w:rPr>
          <w:b w:val="0"/>
        </w:rPr>
        <w:t>ist</w:t>
      </w:r>
      <w:r>
        <w:rPr>
          <w:b w:val="0"/>
        </w:rPr>
        <w:t xml:space="preserve">. </w:t>
      </w:r>
      <w:r w:rsidR="00102EC0">
        <w:rPr>
          <w:b w:val="0"/>
        </w:rPr>
        <w:t>Ein</w:t>
      </w:r>
      <w:r>
        <w:rPr>
          <w:b w:val="0"/>
        </w:rPr>
        <w:t xml:space="preserve"> Ersatzneubau in Holzbauweise </w:t>
      </w:r>
      <w:r w:rsidR="00102EC0">
        <w:rPr>
          <w:b w:val="0"/>
        </w:rPr>
        <w:t xml:space="preserve">hingegen schneidet bei den „Grauen Emissionen“ </w:t>
      </w:r>
      <w:r w:rsidR="00DB24A5">
        <w:rPr>
          <w:b w:val="0"/>
        </w:rPr>
        <w:t>sogar</w:t>
      </w:r>
      <w:r w:rsidR="00102EC0">
        <w:rPr>
          <w:b w:val="0"/>
        </w:rPr>
        <w:t xml:space="preserve"> besser ab als </w:t>
      </w:r>
      <w:r w:rsidR="00DB24A5">
        <w:rPr>
          <w:b w:val="0"/>
        </w:rPr>
        <w:t>dies bei einer ambitionierten Sanierung der Fall ist</w:t>
      </w:r>
      <w:r>
        <w:rPr>
          <w:b w:val="0"/>
        </w:rPr>
        <w:t>.</w:t>
      </w:r>
      <w:r w:rsidR="00102EC0">
        <w:rPr>
          <w:b w:val="0"/>
        </w:rPr>
        <w:t xml:space="preserve"> Die „Grauen Emissionen“ von Dämmstoffen egal welcher Art (EPS, Mineralfaser</w:t>
      </w:r>
      <w:r w:rsidR="00DB24A5">
        <w:rPr>
          <w:b w:val="0"/>
        </w:rPr>
        <w:t xml:space="preserve"> oder </w:t>
      </w:r>
      <w:r w:rsidR="00102EC0">
        <w:rPr>
          <w:b w:val="0"/>
        </w:rPr>
        <w:t>Holzfaser) sind im Verhältnis zu den „Grauen Emissionen“ eines Neubaus in Massivbauweise um eine Größenordnung geringer.</w:t>
      </w:r>
    </w:p>
    <w:p w14:paraId="174CE72A" w14:textId="77777777" w:rsidR="004C2873" w:rsidRPr="004C2873" w:rsidRDefault="004C2873" w:rsidP="004C2873">
      <w:pPr>
        <w:pStyle w:val="Ueberschrift"/>
        <w:rPr>
          <w:b w:val="0"/>
        </w:rPr>
      </w:pPr>
      <w:r>
        <w:rPr>
          <w:b w:val="0"/>
        </w:rPr>
        <w:t>Förderprogramme sollten diese Erkenntnisse nach Möglichkeit berücksichtigen und die Holztafelbauweise insgesamt stärker in den Fokus nehmen.</w:t>
      </w:r>
    </w:p>
    <w:sectPr w:rsidR="004C2873" w:rsidRPr="004C2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A15E" w14:textId="77777777" w:rsidR="00D70225" w:rsidRDefault="00D70225">
      <w:r>
        <w:separator/>
      </w:r>
    </w:p>
  </w:endnote>
  <w:endnote w:type="continuationSeparator" w:id="0">
    <w:p w14:paraId="734E5520" w14:textId="77777777" w:rsidR="00D70225" w:rsidRDefault="00D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8825" w14:textId="77777777" w:rsidR="00D70225" w:rsidRDefault="00D70225">
      <w:r>
        <w:separator/>
      </w:r>
    </w:p>
  </w:footnote>
  <w:footnote w:type="continuationSeparator" w:id="0">
    <w:p w14:paraId="47B71300" w14:textId="77777777" w:rsidR="00D70225" w:rsidRDefault="00D7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D4F"/>
    <w:rsid w:val="00010E92"/>
    <w:rsid w:val="000467A1"/>
    <w:rsid w:val="00102EC0"/>
    <w:rsid w:val="00166ECD"/>
    <w:rsid w:val="00191C5C"/>
    <w:rsid w:val="002014D3"/>
    <w:rsid w:val="00227125"/>
    <w:rsid w:val="0024032F"/>
    <w:rsid w:val="00262FD5"/>
    <w:rsid w:val="002946B8"/>
    <w:rsid w:val="002E5877"/>
    <w:rsid w:val="002E6A3C"/>
    <w:rsid w:val="00317E1F"/>
    <w:rsid w:val="0032445F"/>
    <w:rsid w:val="00350F98"/>
    <w:rsid w:val="00362CD2"/>
    <w:rsid w:val="003B676F"/>
    <w:rsid w:val="003C28FE"/>
    <w:rsid w:val="00483B87"/>
    <w:rsid w:val="00492DFA"/>
    <w:rsid w:val="004C2873"/>
    <w:rsid w:val="004C6C7C"/>
    <w:rsid w:val="004F66BE"/>
    <w:rsid w:val="00502CA9"/>
    <w:rsid w:val="0053411B"/>
    <w:rsid w:val="0059201D"/>
    <w:rsid w:val="005B1ADB"/>
    <w:rsid w:val="005B23D3"/>
    <w:rsid w:val="005E4D4F"/>
    <w:rsid w:val="00695732"/>
    <w:rsid w:val="006A06D6"/>
    <w:rsid w:val="0070710B"/>
    <w:rsid w:val="00710723"/>
    <w:rsid w:val="00724CA4"/>
    <w:rsid w:val="007378C8"/>
    <w:rsid w:val="00741EC0"/>
    <w:rsid w:val="00751EC8"/>
    <w:rsid w:val="00756C45"/>
    <w:rsid w:val="00794344"/>
    <w:rsid w:val="007B47E4"/>
    <w:rsid w:val="00803917"/>
    <w:rsid w:val="008212A5"/>
    <w:rsid w:val="008406B5"/>
    <w:rsid w:val="009040B4"/>
    <w:rsid w:val="0091503B"/>
    <w:rsid w:val="009C0975"/>
    <w:rsid w:val="00A07737"/>
    <w:rsid w:val="00A156E4"/>
    <w:rsid w:val="00A6148D"/>
    <w:rsid w:val="00B7416F"/>
    <w:rsid w:val="00BF05FA"/>
    <w:rsid w:val="00BF5AD9"/>
    <w:rsid w:val="00CA596D"/>
    <w:rsid w:val="00CC5BBC"/>
    <w:rsid w:val="00CE139C"/>
    <w:rsid w:val="00CE1A70"/>
    <w:rsid w:val="00D53E86"/>
    <w:rsid w:val="00D70225"/>
    <w:rsid w:val="00D736F8"/>
    <w:rsid w:val="00DA56DF"/>
    <w:rsid w:val="00DB24A5"/>
    <w:rsid w:val="00DB5EBF"/>
    <w:rsid w:val="00DC4DE0"/>
    <w:rsid w:val="00E1677A"/>
    <w:rsid w:val="00E520E6"/>
    <w:rsid w:val="00E70E1A"/>
    <w:rsid w:val="00EA5C6E"/>
    <w:rsid w:val="00F247F1"/>
    <w:rsid w:val="00F66397"/>
    <w:rsid w:val="00F931F7"/>
    <w:rsid w:val="00FB69AE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1BDF0"/>
  <w15:chartTrackingRefBased/>
  <w15:docId w15:val="{51B96F7B-E423-4D4D-AFE2-7B2AF38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styleId="Kommentarzeichen">
    <w:name w:val="annotation reference"/>
    <w:uiPriority w:val="99"/>
    <w:semiHidden/>
    <w:unhideWhenUsed/>
    <w:rsid w:val="00317E1F"/>
    <w:rPr>
      <w:sz w:val="16"/>
      <w:szCs w:val="16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E1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17E1F"/>
    <w:rPr>
      <w:rFonts w:ascii="Arial" w:hAnsi="Arial"/>
      <w:lang w:eastAsia="ko-KR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E1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17E1F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E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7E1F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uiPriority w:val="99"/>
    <w:unhideWhenUsed/>
    <w:rsid w:val="00EA5C6E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70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esse@oeko.d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CE76-8598-47EA-A2F3-21B1BF8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3862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TU-Wien Campuslizenz</Company>
  <LinksUpToDate>false</LinksUpToDate>
  <CharactersWithSpaces>4467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mailto:t.hesse@oeko.de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Tilman Hesse</cp:lastModifiedBy>
  <cp:revision>2</cp:revision>
  <cp:lastPrinted>2018-11-07T14:23:00Z</cp:lastPrinted>
  <dcterms:created xsi:type="dcterms:W3CDTF">2022-11-22T20:25:00Z</dcterms:created>
  <dcterms:modified xsi:type="dcterms:W3CDTF">2022-11-22T20:25:00Z</dcterms:modified>
</cp:coreProperties>
</file>