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ED4B" w14:textId="77777777" w:rsidR="009C4DB4" w:rsidRPr="005712E2" w:rsidRDefault="009C4DB4" w:rsidP="005712E2">
      <w:pPr>
        <w:pStyle w:val="berschrift2"/>
        <w:rPr>
          <w:rFonts w:asciiTheme="minorHAnsi" w:hAnsiTheme="minorHAnsi" w:cstheme="minorHAnsi"/>
          <w:i w:val="0"/>
          <w:sz w:val="24"/>
          <w:szCs w:val="24"/>
        </w:rPr>
      </w:pPr>
    </w:p>
    <w:p w14:paraId="7DAF3494" w14:textId="7A5CE780" w:rsidR="009C4DB4" w:rsidRPr="005712E2" w:rsidRDefault="009C4DB4" w:rsidP="005712E2">
      <w:pPr>
        <w:pStyle w:val="berschrift2"/>
        <w:rPr>
          <w:rFonts w:asciiTheme="minorHAnsi" w:hAnsiTheme="minorHAnsi" w:cstheme="minorHAnsi"/>
          <w:i w:val="0"/>
          <w:sz w:val="24"/>
          <w:szCs w:val="24"/>
        </w:rPr>
      </w:pPr>
      <w:r w:rsidRPr="005712E2">
        <w:rPr>
          <w:rFonts w:asciiTheme="minorHAnsi" w:hAnsiTheme="minorHAnsi" w:cstheme="minorHAnsi"/>
          <w:i w:val="0"/>
          <w:sz w:val="24"/>
          <w:szCs w:val="24"/>
        </w:rPr>
        <w:t>[MODELLING OF CROSS</w:t>
      </w:r>
      <w:r w:rsidR="000F77F5">
        <w:rPr>
          <w:rFonts w:asciiTheme="minorHAnsi" w:hAnsiTheme="minorHAnsi" w:cstheme="minorHAnsi"/>
          <w:i w:val="0"/>
          <w:sz w:val="24"/>
          <w:szCs w:val="24"/>
        </w:rPr>
        <w:t>-</w:t>
      </w:r>
      <w:r w:rsidRPr="005712E2">
        <w:rPr>
          <w:rFonts w:asciiTheme="minorHAnsi" w:hAnsiTheme="minorHAnsi" w:cstheme="minorHAnsi"/>
          <w:i w:val="0"/>
          <w:sz w:val="24"/>
          <w:szCs w:val="24"/>
        </w:rPr>
        <w:t>BORDER AUCTIONS]</w:t>
      </w:r>
    </w:p>
    <w:p w14:paraId="458105E8" w14:textId="77777777" w:rsidR="009C4DB4" w:rsidRPr="005712E2" w:rsidRDefault="009C4DB4" w:rsidP="005712E2">
      <w:pPr>
        <w:pStyle w:val="berschrift2"/>
        <w:jc w:val="right"/>
        <w:rPr>
          <w:rFonts w:asciiTheme="minorHAnsi" w:hAnsiTheme="minorHAnsi" w:cstheme="minorHAnsi"/>
          <w:b w:val="0"/>
          <w:i w:val="0"/>
          <w:sz w:val="20"/>
        </w:rPr>
      </w:pPr>
      <w:r w:rsidRPr="005712E2">
        <w:rPr>
          <w:rFonts w:asciiTheme="minorHAnsi" w:hAnsiTheme="minorHAnsi" w:cstheme="minorHAnsi"/>
          <w:b w:val="0"/>
          <w:i w:val="0"/>
          <w:sz w:val="20"/>
        </w:rPr>
        <w:t xml:space="preserve"> [Jasper Geipel, TU WIEN, Energy Economics Group, +43 1 58801 370369, </w:t>
      </w:r>
      <w:hyperlink r:id="rId8" w:history="1">
        <w:r w:rsidRPr="005712E2">
          <w:rPr>
            <w:rStyle w:val="Hyperlink"/>
            <w:rFonts w:asciiTheme="minorHAnsi" w:hAnsiTheme="minorHAnsi" w:cstheme="minorHAnsi"/>
            <w:b w:val="0"/>
            <w:i w:val="0"/>
            <w:sz w:val="20"/>
          </w:rPr>
          <w:t>geipel@eeg.tuwien.ac.at</w:t>
        </w:r>
      </w:hyperlink>
      <w:r w:rsidRPr="005712E2">
        <w:rPr>
          <w:rFonts w:asciiTheme="minorHAnsi" w:hAnsiTheme="minorHAnsi" w:cstheme="minorHAnsi"/>
          <w:b w:val="0"/>
          <w:i w:val="0"/>
          <w:sz w:val="20"/>
        </w:rPr>
        <w:t>]</w:t>
      </w:r>
    </w:p>
    <w:p w14:paraId="01CC5DBE" w14:textId="6C19A3B0" w:rsidR="009C4DB4" w:rsidRPr="005712E2" w:rsidRDefault="009C4DB4" w:rsidP="005712E2">
      <w:pPr>
        <w:pStyle w:val="berschrift2"/>
        <w:spacing w:before="0"/>
        <w:jc w:val="right"/>
        <w:rPr>
          <w:rFonts w:asciiTheme="minorHAnsi" w:hAnsiTheme="minorHAnsi" w:cstheme="minorHAnsi"/>
          <w:b w:val="0"/>
          <w:i w:val="0"/>
          <w:sz w:val="20"/>
        </w:rPr>
      </w:pPr>
      <w:r w:rsidRPr="005712E2">
        <w:rPr>
          <w:rFonts w:asciiTheme="minorHAnsi" w:hAnsiTheme="minorHAnsi" w:cstheme="minorHAnsi"/>
          <w:b w:val="0"/>
          <w:i w:val="0"/>
          <w:sz w:val="20"/>
        </w:rPr>
        <w:t xml:space="preserve">[Gustav Resch, TU WIEN, Energy Economics Group, </w:t>
      </w:r>
      <w:hyperlink r:id="rId9" w:history="1">
        <w:r w:rsidR="00E866B2" w:rsidRPr="005712E2">
          <w:rPr>
            <w:rStyle w:val="Hyperlink"/>
            <w:rFonts w:asciiTheme="minorHAnsi" w:hAnsiTheme="minorHAnsi" w:cstheme="minorHAnsi"/>
            <w:b w:val="0"/>
            <w:i w:val="0"/>
            <w:sz w:val="20"/>
          </w:rPr>
          <w:t>resch@eeg.tuwien.ac.at</w:t>
        </w:r>
      </w:hyperlink>
      <w:r w:rsidRPr="005712E2">
        <w:rPr>
          <w:rFonts w:asciiTheme="minorHAnsi" w:hAnsiTheme="minorHAnsi" w:cstheme="minorHAnsi"/>
          <w:b w:val="0"/>
          <w:i w:val="0"/>
          <w:sz w:val="20"/>
        </w:rPr>
        <w:t>]</w:t>
      </w:r>
    </w:p>
    <w:p w14:paraId="37E41861" w14:textId="7AD969D6" w:rsidR="000F77F5" w:rsidRDefault="00E866B2" w:rsidP="005712E2">
      <w:pPr>
        <w:pStyle w:val="berschrift2"/>
        <w:spacing w:before="0"/>
        <w:jc w:val="right"/>
        <w:rPr>
          <w:rFonts w:asciiTheme="minorHAnsi" w:hAnsiTheme="minorHAnsi" w:cstheme="minorHAnsi"/>
          <w:b w:val="0"/>
          <w:i w:val="0"/>
          <w:sz w:val="20"/>
        </w:rPr>
      </w:pPr>
      <w:r w:rsidRPr="005712E2">
        <w:rPr>
          <w:rFonts w:asciiTheme="minorHAnsi" w:hAnsiTheme="minorHAnsi" w:cstheme="minorHAnsi"/>
        </w:rPr>
        <w:tab/>
      </w:r>
      <w:r w:rsidRPr="005712E2">
        <w:rPr>
          <w:rFonts w:asciiTheme="minorHAnsi" w:hAnsiTheme="minorHAnsi" w:cstheme="minorHAnsi"/>
          <w:b w:val="0"/>
          <w:i w:val="0"/>
          <w:sz w:val="20"/>
        </w:rPr>
        <w:t>[Lukas Liebmann, TU WIEN, Energy Economics Group,</w:t>
      </w:r>
    </w:p>
    <w:p w14:paraId="40B2B895" w14:textId="6FEB034E" w:rsidR="009C4DB4" w:rsidRPr="005712E2" w:rsidRDefault="000F77F5" w:rsidP="005712E2">
      <w:pPr>
        <w:pStyle w:val="berschrift2"/>
        <w:spacing w:before="0"/>
        <w:jc w:val="right"/>
        <w:rPr>
          <w:rFonts w:asciiTheme="minorHAnsi" w:hAnsiTheme="minorHAnsi" w:cstheme="minorHAnsi"/>
          <w:b w:val="0"/>
          <w:i w:val="0"/>
          <w:sz w:val="20"/>
        </w:rPr>
      </w:pPr>
      <w:hyperlink r:id="rId10" w:history="1">
        <w:r w:rsidRPr="00F7063A">
          <w:rPr>
            <w:rStyle w:val="Hyperlink"/>
            <w:rFonts w:asciiTheme="minorHAnsi" w:hAnsiTheme="minorHAnsi" w:cstheme="minorHAnsi"/>
            <w:b w:val="0"/>
            <w:i w:val="0"/>
            <w:sz w:val="20"/>
          </w:rPr>
          <w:t>liebmann@eeg.tuwien.ac.at</w:t>
        </w:r>
      </w:hyperlink>
      <w:r w:rsidR="00E866B2" w:rsidRPr="005712E2">
        <w:rPr>
          <w:rFonts w:asciiTheme="minorHAnsi" w:hAnsiTheme="minorHAnsi" w:cstheme="minorHAnsi"/>
          <w:b w:val="0"/>
          <w:i w:val="0"/>
          <w:sz w:val="20"/>
        </w:rPr>
        <w:t>]</w:t>
      </w:r>
    </w:p>
    <w:p w14:paraId="2360072B" w14:textId="77777777" w:rsidR="009C4DB4" w:rsidRPr="005712E2" w:rsidRDefault="009C4DB4" w:rsidP="005712E2">
      <w:pPr>
        <w:pStyle w:val="berschrift2"/>
        <w:rPr>
          <w:rFonts w:asciiTheme="minorHAnsi" w:hAnsiTheme="minorHAnsi" w:cstheme="minorHAnsi"/>
          <w:i w:val="0"/>
          <w:sz w:val="24"/>
          <w:szCs w:val="24"/>
        </w:rPr>
      </w:pPr>
      <w:r w:rsidRPr="005712E2">
        <w:rPr>
          <w:rFonts w:asciiTheme="minorHAnsi" w:hAnsiTheme="minorHAnsi" w:cstheme="minorHAnsi"/>
          <w:i w:val="0"/>
          <w:sz w:val="24"/>
          <w:szCs w:val="24"/>
        </w:rPr>
        <w:t>Overview</w:t>
      </w:r>
    </w:p>
    <w:p w14:paraId="316FE4B2" w14:textId="2F0C3C9E" w:rsidR="00E866B2" w:rsidRPr="005712E2" w:rsidRDefault="00E866B2" w:rsidP="005712E2">
      <w:pPr>
        <w:rPr>
          <w:rFonts w:asciiTheme="minorHAnsi" w:hAnsiTheme="minorHAnsi" w:cstheme="minorHAnsi"/>
        </w:rPr>
      </w:pPr>
      <w:r w:rsidRPr="005712E2">
        <w:rPr>
          <w:rFonts w:asciiTheme="minorHAnsi" w:hAnsiTheme="minorHAnsi" w:cstheme="minorHAnsi"/>
        </w:rPr>
        <w:t>As part of the European Green Deal (cf. EC, 2019)</w:t>
      </w:r>
      <w:r w:rsidR="000F77F5">
        <w:rPr>
          <w:rFonts w:asciiTheme="minorHAnsi" w:hAnsiTheme="minorHAnsi" w:cstheme="minorHAnsi"/>
        </w:rPr>
        <w:t>,</w:t>
      </w:r>
      <w:r w:rsidRPr="005712E2">
        <w:rPr>
          <w:rFonts w:asciiTheme="minorHAnsi" w:hAnsiTheme="minorHAnsi" w:cstheme="minorHAnsi"/>
        </w:rPr>
        <w:t xml:space="preserve"> the EU</w:t>
      </w:r>
      <w:r w:rsidR="000F77F5">
        <w:rPr>
          <w:rFonts w:asciiTheme="minorHAnsi" w:hAnsiTheme="minorHAnsi" w:cstheme="minorHAnsi"/>
        </w:rPr>
        <w:t>'s</w:t>
      </w:r>
      <w:r w:rsidRPr="005712E2">
        <w:rPr>
          <w:rFonts w:asciiTheme="minorHAnsi" w:hAnsiTheme="minorHAnsi" w:cstheme="minorHAnsi"/>
        </w:rPr>
        <w:t xml:space="preserve"> ambition</w:t>
      </w:r>
      <w:r w:rsidR="000F77F5">
        <w:rPr>
          <w:rFonts w:asciiTheme="minorHAnsi" w:hAnsiTheme="minorHAnsi" w:cstheme="minorHAnsi"/>
        </w:rPr>
        <w:t xml:space="preserve"> regarding its</w:t>
      </w:r>
      <w:r w:rsidR="000F77F5" w:rsidRPr="000F77F5">
        <w:rPr>
          <w:rFonts w:asciiTheme="minorHAnsi" w:hAnsiTheme="minorHAnsi" w:cstheme="minorHAnsi"/>
        </w:rPr>
        <w:t xml:space="preserve"> </w:t>
      </w:r>
      <w:r w:rsidR="000F77F5" w:rsidRPr="005712E2">
        <w:rPr>
          <w:rFonts w:asciiTheme="minorHAnsi" w:hAnsiTheme="minorHAnsi" w:cstheme="minorHAnsi"/>
        </w:rPr>
        <w:t>energy and climate targets</w:t>
      </w:r>
      <w:r w:rsidRPr="005712E2">
        <w:rPr>
          <w:rFonts w:asciiTheme="minorHAnsi" w:hAnsiTheme="minorHAnsi" w:cstheme="minorHAnsi"/>
        </w:rPr>
        <w:t xml:space="preserve"> has been raised: the European Union (EU) now aims at full climate-neutrality of all sectors by 2050 and, </w:t>
      </w:r>
      <w:r w:rsidR="000F77F5">
        <w:rPr>
          <w:rFonts w:asciiTheme="minorHAnsi" w:hAnsiTheme="minorHAnsi" w:cstheme="minorHAnsi"/>
        </w:rPr>
        <w:t>following</w:t>
      </w:r>
      <w:r w:rsidRPr="005712E2">
        <w:rPr>
          <w:rFonts w:asciiTheme="minorHAnsi" w:hAnsiTheme="minorHAnsi" w:cstheme="minorHAnsi"/>
        </w:rPr>
        <w:t xml:space="preserve"> that, the European </w:t>
      </w:r>
      <w:r w:rsidR="005712E2" w:rsidRPr="005712E2">
        <w:rPr>
          <w:rFonts w:asciiTheme="minorHAnsi" w:hAnsiTheme="minorHAnsi" w:cstheme="minorHAnsi"/>
        </w:rPr>
        <w:t>Commission</w:t>
      </w:r>
      <w:r w:rsidRPr="005712E2">
        <w:rPr>
          <w:rFonts w:asciiTheme="minorHAnsi" w:hAnsiTheme="minorHAnsi" w:cstheme="minorHAnsi"/>
        </w:rPr>
        <w:t xml:space="preserve"> (EC) </w:t>
      </w:r>
      <w:r w:rsidR="000F77F5">
        <w:rPr>
          <w:rFonts w:asciiTheme="minorHAnsi" w:hAnsiTheme="minorHAnsi" w:cstheme="minorHAnsi"/>
        </w:rPr>
        <w:t>updated</w:t>
      </w:r>
      <w:r w:rsidRPr="005712E2">
        <w:rPr>
          <w:rFonts w:asciiTheme="minorHAnsi" w:hAnsiTheme="minorHAnsi" w:cstheme="minorHAnsi"/>
        </w:rPr>
        <w:t xml:space="preserve"> the 2030 GHG reduction target to (at least) 55%, cf. (EC, 2020a,2020b). </w:t>
      </w:r>
      <w:r w:rsidR="000F77F5">
        <w:rPr>
          <w:rFonts w:asciiTheme="minorHAnsi" w:hAnsiTheme="minorHAnsi" w:cstheme="minorHAnsi"/>
        </w:rPr>
        <w:t>In consequence,</w:t>
      </w:r>
      <w:r w:rsidRPr="005712E2">
        <w:rPr>
          <w:rFonts w:asciiTheme="minorHAnsi" w:hAnsiTheme="minorHAnsi" w:cstheme="minorHAnsi"/>
        </w:rPr>
        <w:t xml:space="preserve"> one may expect an increase in electricity demand driven by sector-coupling driven by the overall decarboni</w:t>
      </w:r>
      <w:r w:rsidR="000F77F5">
        <w:rPr>
          <w:rFonts w:asciiTheme="minorHAnsi" w:hAnsiTheme="minorHAnsi" w:cstheme="minorHAnsi"/>
        </w:rPr>
        <w:t>z</w:t>
      </w:r>
      <w:r w:rsidRPr="005712E2">
        <w:rPr>
          <w:rFonts w:asciiTheme="minorHAnsi" w:hAnsiTheme="minorHAnsi" w:cstheme="minorHAnsi"/>
        </w:rPr>
        <w:t>ation objective of the whole EU economy and a further boost towards renewables across all parts of the energy sector, cf. EC, 2020c. Within the electricity sector, renewables are expected to dominate electricity supply post</w:t>
      </w:r>
      <w:r w:rsidR="000F77F5">
        <w:rPr>
          <w:rFonts w:asciiTheme="minorHAnsi" w:hAnsiTheme="minorHAnsi" w:cstheme="minorHAnsi"/>
        </w:rPr>
        <w:t>-</w:t>
      </w:r>
      <w:r w:rsidRPr="005712E2">
        <w:rPr>
          <w:rFonts w:asciiTheme="minorHAnsi" w:hAnsiTheme="minorHAnsi" w:cstheme="minorHAnsi"/>
        </w:rPr>
        <w:t>2030, requiring high shares of wind and photovoltaics in the power system a</w:t>
      </w:r>
      <w:r w:rsidR="000F77F5">
        <w:rPr>
          <w:rFonts w:asciiTheme="minorHAnsi" w:hAnsiTheme="minorHAnsi" w:cstheme="minorHAnsi"/>
        </w:rPr>
        <w:t>nd</w:t>
      </w:r>
      <w:r w:rsidRPr="005712E2">
        <w:rPr>
          <w:rFonts w:asciiTheme="minorHAnsi" w:hAnsiTheme="minorHAnsi" w:cstheme="minorHAnsi"/>
        </w:rPr>
        <w:t xml:space="preserve"> dispatchable (RES) technologies to balance the fluctuating generation patterns of wind and PV.</w:t>
      </w:r>
    </w:p>
    <w:p w14:paraId="4BE41CB0" w14:textId="1DEBAD46" w:rsidR="00C8395D" w:rsidRPr="005712E2" w:rsidRDefault="00E866B2" w:rsidP="005712E2">
      <w:pPr>
        <w:rPr>
          <w:rFonts w:asciiTheme="minorHAnsi" w:hAnsiTheme="minorHAnsi" w:cstheme="minorHAnsi"/>
        </w:rPr>
      </w:pPr>
      <w:r w:rsidRPr="005712E2">
        <w:rPr>
          <w:rFonts w:asciiTheme="minorHAnsi" w:hAnsiTheme="minorHAnsi" w:cstheme="minorHAnsi"/>
        </w:rPr>
        <w:t xml:space="preserve">Since renewable resources differ across the EU, cooperation between MS and at </w:t>
      </w:r>
      <w:r w:rsidR="000F77F5">
        <w:rPr>
          <w:rFonts w:asciiTheme="minorHAnsi" w:hAnsiTheme="minorHAnsi" w:cstheme="minorHAnsi"/>
        </w:rPr>
        <w:t xml:space="preserve">the </w:t>
      </w:r>
      <w:r w:rsidRPr="005712E2">
        <w:rPr>
          <w:rFonts w:asciiTheme="minorHAnsi" w:hAnsiTheme="minorHAnsi" w:cstheme="minorHAnsi"/>
        </w:rPr>
        <w:t xml:space="preserve">EU level is </w:t>
      </w:r>
      <w:r w:rsidR="000F77F5">
        <w:rPr>
          <w:rFonts w:asciiTheme="minorHAnsi" w:hAnsiTheme="minorHAnsi" w:cstheme="minorHAnsi"/>
        </w:rPr>
        <w:t>crucial</w:t>
      </w:r>
      <w:r w:rsidRPr="005712E2">
        <w:rPr>
          <w:rFonts w:asciiTheme="minorHAnsi" w:hAnsiTheme="minorHAnsi" w:cstheme="minorHAnsi"/>
        </w:rPr>
        <w:t>, helping to make promising RES potentials in certain parts/areas also available to neighbouring regions within the EU and facilitating overall energy and climate target achievements. Cooperation is generally characterized by shared efforts and risks, cost</w:t>
      </w:r>
      <w:r w:rsidR="000F77F5">
        <w:rPr>
          <w:rFonts w:asciiTheme="minorHAnsi" w:hAnsiTheme="minorHAnsi" w:cstheme="minorHAnsi"/>
        </w:rPr>
        <w:t>-</w:t>
      </w:r>
      <w:r w:rsidRPr="005712E2">
        <w:rPr>
          <w:rFonts w:asciiTheme="minorHAnsi" w:hAnsiTheme="minorHAnsi" w:cstheme="minorHAnsi"/>
        </w:rPr>
        <w:t>optimi</w:t>
      </w:r>
      <w:r w:rsidR="000F77F5">
        <w:rPr>
          <w:rFonts w:asciiTheme="minorHAnsi" w:hAnsiTheme="minorHAnsi" w:cstheme="minorHAnsi"/>
        </w:rPr>
        <w:t>z</w:t>
      </w:r>
      <w:r w:rsidRPr="005712E2">
        <w:rPr>
          <w:rFonts w:asciiTheme="minorHAnsi" w:hAnsiTheme="minorHAnsi" w:cstheme="minorHAnsi"/>
        </w:rPr>
        <w:t xml:space="preserve">ed investments over all countries instead of separate, national strategies and high shares of energy trading (physically or statistically), cf. (Boie et al., 2020). To facilitate RES cooperation, a variety of cooperation mechanisms have been defined in EU regulation in prior, cf. (EC, 2009) or (EC, 2018a). In recent years, only limited progress has been achieved concerning cooperation in the field of RES across the EU – </w:t>
      </w:r>
      <w:proofErr w:type="gramStart"/>
      <w:r w:rsidRPr="005712E2">
        <w:rPr>
          <w:rFonts w:asciiTheme="minorHAnsi" w:hAnsiTheme="minorHAnsi" w:cstheme="minorHAnsi"/>
        </w:rPr>
        <w:t>i.e.</w:t>
      </w:r>
      <w:proofErr w:type="gramEnd"/>
      <w:r w:rsidRPr="005712E2">
        <w:rPr>
          <w:rFonts w:asciiTheme="minorHAnsi" w:hAnsiTheme="minorHAnsi" w:cstheme="minorHAnsi"/>
        </w:rPr>
        <w:t xml:space="preserve"> as stated in (EC 2020d) currently</w:t>
      </w:r>
      <w:r w:rsidR="000F77F5">
        <w:rPr>
          <w:rFonts w:asciiTheme="minorHAnsi" w:hAnsiTheme="minorHAnsi" w:cstheme="minorHAnsi"/>
        </w:rPr>
        <w:t>,</w:t>
      </w:r>
      <w:r w:rsidRPr="005712E2">
        <w:rPr>
          <w:rFonts w:asciiTheme="minorHAnsi" w:hAnsiTheme="minorHAnsi" w:cstheme="minorHAnsi"/>
        </w:rPr>
        <w:t xml:space="preserve"> four binational agreements have been </w:t>
      </w:r>
      <w:r w:rsidR="000F77F5">
        <w:rPr>
          <w:rFonts w:asciiTheme="minorHAnsi" w:hAnsiTheme="minorHAnsi" w:cstheme="minorHAnsi"/>
        </w:rPr>
        <w:t>made</w:t>
      </w:r>
      <w:r w:rsidRPr="005712E2">
        <w:rPr>
          <w:rFonts w:asciiTheme="minorHAnsi" w:hAnsiTheme="minorHAnsi" w:cstheme="minorHAnsi"/>
        </w:rPr>
        <w:t xml:space="preserve"> to collaborate on 2020 RES target achievement. Further agreements can</w:t>
      </w:r>
      <w:r w:rsidR="000F77F5">
        <w:rPr>
          <w:rFonts w:asciiTheme="minorHAnsi" w:hAnsiTheme="minorHAnsi" w:cstheme="minorHAnsi"/>
        </w:rPr>
        <w:t>,</w:t>
      </w:r>
      <w:r w:rsidRPr="005712E2">
        <w:rPr>
          <w:rFonts w:asciiTheme="minorHAnsi" w:hAnsiTheme="minorHAnsi" w:cstheme="minorHAnsi"/>
        </w:rPr>
        <w:t xml:space="preserve"> however</w:t>
      </w:r>
      <w:r w:rsidR="000F77F5">
        <w:rPr>
          <w:rFonts w:asciiTheme="minorHAnsi" w:hAnsiTheme="minorHAnsi" w:cstheme="minorHAnsi"/>
        </w:rPr>
        <w:t>,</w:t>
      </w:r>
      <w:r w:rsidRPr="005712E2">
        <w:rPr>
          <w:rFonts w:asciiTheme="minorHAnsi" w:hAnsiTheme="minorHAnsi" w:cstheme="minorHAnsi"/>
        </w:rPr>
        <w:t xml:space="preserve"> be expected in the 2020 context and beyond. Thus, cross-border cooperation on renewables is currently prominent on the agenda of many MSs and at </w:t>
      </w:r>
      <w:r w:rsidR="000F77F5">
        <w:rPr>
          <w:rFonts w:asciiTheme="minorHAnsi" w:hAnsiTheme="minorHAnsi" w:cstheme="minorHAnsi"/>
        </w:rPr>
        <w:t xml:space="preserve">the </w:t>
      </w:r>
      <w:r w:rsidRPr="005712E2">
        <w:rPr>
          <w:rFonts w:asciiTheme="minorHAnsi" w:hAnsiTheme="minorHAnsi" w:cstheme="minorHAnsi"/>
        </w:rPr>
        <w:t>aggregated level since the EC is strongly encouraging MSs to make of these cooperation mechanisms, for example</w:t>
      </w:r>
      <w:r w:rsidR="000F77F5">
        <w:rPr>
          <w:rFonts w:asciiTheme="minorHAnsi" w:hAnsiTheme="minorHAnsi" w:cstheme="minorHAnsi"/>
        </w:rPr>
        <w:t>,</w:t>
      </w:r>
      <w:r w:rsidRPr="005712E2">
        <w:rPr>
          <w:rFonts w:asciiTheme="minorHAnsi" w:hAnsiTheme="minorHAnsi" w:cstheme="minorHAnsi"/>
        </w:rPr>
        <w:t xml:space="preserve"> </w:t>
      </w:r>
      <w:r w:rsidR="000F77F5">
        <w:rPr>
          <w:rFonts w:asciiTheme="minorHAnsi" w:hAnsiTheme="minorHAnsi" w:cstheme="minorHAnsi"/>
        </w:rPr>
        <w:t>using</w:t>
      </w:r>
      <w:r w:rsidRPr="005712E2">
        <w:rPr>
          <w:rFonts w:asciiTheme="minorHAnsi" w:hAnsiTheme="minorHAnsi" w:cstheme="minorHAnsi"/>
        </w:rPr>
        <w:t xml:space="preserve"> cross-border or EU-wide RES auctions, for achieving RES targets for 2020, 2030 and beyond in a cost-effective manner, cf. (EC, 2020d).</w:t>
      </w:r>
    </w:p>
    <w:p w14:paraId="3EEFFC0A" w14:textId="7611DA53" w:rsidR="00E866B2" w:rsidRPr="005712E2" w:rsidRDefault="00E866B2" w:rsidP="005712E2">
      <w:pPr>
        <w:rPr>
          <w:rFonts w:asciiTheme="minorHAnsi" w:hAnsiTheme="minorHAnsi" w:cstheme="minorHAnsi"/>
        </w:rPr>
      </w:pPr>
      <w:r w:rsidRPr="005712E2">
        <w:rPr>
          <w:rFonts w:asciiTheme="minorHAnsi" w:hAnsiTheme="minorHAnsi" w:cstheme="minorHAnsi"/>
        </w:rPr>
        <w:t xml:space="preserve">This paper </w:t>
      </w:r>
      <w:r w:rsidR="005712E2">
        <w:rPr>
          <w:rFonts w:asciiTheme="minorHAnsi" w:hAnsiTheme="minorHAnsi" w:cstheme="minorHAnsi"/>
        </w:rPr>
        <w:t>investigates how RES cooperation in</w:t>
      </w:r>
      <w:r w:rsidR="000F77F5">
        <w:rPr>
          <w:rFonts w:asciiTheme="minorHAnsi" w:hAnsiTheme="minorHAnsi" w:cstheme="minorHAnsi"/>
        </w:rPr>
        <w:t xml:space="preserve"> </w:t>
      </w:r>
      <w:r w:rsidR="005712E2">
        <w:rPr>
          <w:rFonts w:asciiTheme="minorHAnsi" w:hAnsiTheme="minorHAnsi" w:cstheme="minorHAnsi"/>
        </w:rPr>
        <w:t>cross</w:t>
      </w:r>
      <w:r w:rsidR="000F77F5">
        <w:rPr>
          <w:rFonts w:asciiTheme="minorHAnsi" w:hAnsiTheme="minorHAnsi" w:cstheme="minorHAnsi"/>
        </w:rPr>
        <w:t>-</w:t>
      </w:r>
      <w:r w:rsidR="005712E2">
        <w:rPr>
          <w:rFonts w:asciiTheme="minorHAnsi" w:hAnsiTheme="minorHAnsi" w:cstheme="minorHAnsi"/>
        </w:rPr>
        <w:t>border auctions impacts and contributes to reaching the European RES targets.</w:t>
      </w:r>
    </w:p>
    <w:p w14:paraId="7B221597" w14:textId="519E8E7A" w:rsidR="009C4DB4" w:rsidRPr="005712E2" w:rsidRDefault="009C4DB4" w:rsidP="005712E2">
      <w:pPr>
        <w:pStyle w:val="berschrift2"/>
        <w:rPr>
          <w:rFonts w:asciiTheme="minorHAnsi" w:hAnsiTheme="minorHAnsi" w:cstheme="minorHAnsi"/>
          <w:i w:val="0"/>
          <w:sz w:val="24"/>
          <w:szCs w:val="24"/>
        </w:rPr>
      </w:pPr>
      <w:r w:rsidRPr="005712E2">
        <w:rPr>
          <w:rFonts w:asciiTheme="minorHAnsi" w:hAnsiTheme="minorHAnsi" w:cstheme="minorHAnsi"/>
          <w:i w:val="0"/>
          <w:sz w:val="24"/>
          <w:szCs w:val="24"/>
        </w:rPr>
        <w:t>Methods</w:t>
      </w:r>
    </w:p>
    <w:p w14:paraId="736C9C56" w14:textId="6147A68D" w:rsidR="00E866B2" w:rsidRPr="000904D7" w:rsidRDefault="00E866B2" w:rsidP="000904D7">
      <w:pPr>
        <w:pStyle w:val="berschrift2"/>
        <w:rPr>
          <w:rFonts w:asciiTheme="minorHAnsi" w:hAnsiTheme="minorHAnsi" w:cstheme="minorHAnsi"/>
          <w:b w:val="0"/>
          <w:i w:val="0"/>
          <w:sz w:val="20"/>
        </w:rPr>
      </w:pPr>
      <w:r w:rsidRPr="005712E2">
        <w:rPr>
          <w:rFonts w:asciiTheme="minorHAnsi" w:hAnsiTheme="minorHAnsi" w:cstheme="minorHAnsi"/>
          <w:b w:val="0"/>
          <w:i w:val="0"/>
          <w:sz w:val="20"/>
        </w:rPr>
        <w:t xml:space="preserve">This analysis builds on modelling works undertaken </w:t>
      </w:r>
      <w:r w:rsidR="000F77F5">
        <w:rPr>
          <w:rFonts w:asciiTheme="minorHAnsi" w:hAnsiTheme="minorHAnsi" w:cstheme="minorHAnsi"/>
          <w:b w:val="0"/>
          <w:i w:val="0"/>
          <w:sz w:val="20"/>
        </w:rPr>
        <w:t>using</w:t>
      </w:r>
      <w:r w:rsidRPr="005712E2">
        <w:rPr>
          <w:rFonts w:asciiTheme="minorHAnsi" w:hAnsiTheme="minorHAnsi" w:cstheme="minorHAnsi"/>
          <w:b w:val="0"/>
          <w:i w:val="0"/>
          <w:sz w:val="20"/>
        </w:rPr>
        <w:t xml:space="preserve"> TU Wien’s Green-X model, a speciali</w:t>
      </w:r>
      <w:r w:rsidR="000F77F5">
        <w:rPr>
          <w:rFonts w:asciiTheme="minorHAnsi" w:hAnsiTheme="minorHAnsi" w:cstheme="minorHAnsi"/>
          <w:b w:val="0"/>
          <w:i w:val="0"/>
          <w:sz w:val="20"/>
        </w:rPr>
        <w:t>z</w:t>
      </w:r>
      <w:r w:rsidRPr="005712E2">
        <w:rPr>
          <w:rFonts w:asciiTheme="minorHAnsi" w:hAnsiTheme="minorHAnsi" w:cstheme="minorHAnsi"/>
          <w:b w:val="0"/>
          <w:i w:val="0"/>
          <w:sz w:val="20"/>
        </w:rPr>
        <w:t xml:space="preserve">ed energy system model with </w:t>
      </w:r>
      <w:r w:rsidR="000F77F5">
        <w:rPr>
          <w:rFonts w:asciiTheme="minorHAnsi" w:hAnsiTheme="minorHAnsi" w:cstheme="minorHAnsi"/>
          <w:b w:val="0"/>
          <w:i w:val="0"/>
          <w:sz w:val="20"/>
        </w:rPr>
        <w:t>proper</w:t>
      </w:r>
      <w:r w:rsidRPr="005712E2">
        <w:rPr>
          <w:rFonts w:asciiTheme="minorHAnsi" w:hAnsiTheme="minorHAnsi" w:cstheme="minorHAnsi"/>
          <w:b w:val="0"/>
          <w:i w:val="0"/>
          <w:sz w:val="20"/>
        </w:rPr>
        <w:t xml:space="preserve"> incorporation of various RES policy approaches linked </w:t>
      </w:r>
      <w:r w:rsidR="000904D7">
        <w:rPr>
          <w:rFonts w:asciiTheme="minorHAnsi" w:hAnsiTheme="minorHAnsi" w:cstheme="minorHAnsi"/>
          <w:b w:val="0"/>
          <w:i w:val="0"/>
          <w:sz w:val="20"/>
        </w:rPr>
        <w:t xml:space="preserve">via soft model coupling </w:t>
      </w:r>
      <w:r w:rsidRPr="005712E2">
        <w:rPr>
          <w:rFonts w:asciiTheme="minorHAnsi" w:hAnsiTheme="minorHAnsi" w:cstheme="minorHAnsi"/>
          <w:b w:val="0"/>
          <w:i w:val="0"/>
          <w:sz w:val="20"/>
        </w:rPr>
        <w:t xml:space="preserve">to </w:t>
      </w:r>
      <w:r w:rsidR="005712E2">
        <w:rPr>
          <w:rFonts w:asciiTheme="minorHAnsi" w:hAnsiTheme="minorHAnsi" w:cstheme="minorHAnsi"/>
          <w:b w:val="0"/>
          <w:i w:val="0"/>
          <w:sz w:val="20"/>
        </w:rPr>
        <w:t xml:space="preserve">the </w:t>
      </w:r>
      <w:r w:rsidRPr="005712E2">
        <w:rPr>
          <w:rFonts w:asciiTheme="minorHAnsi" w:hAnsiTheme="minorHAnsi" w:cstheme="minorHAnsi"/>
          <w:b w:val="0"/>
          <w:i w:val="0"/>
          <w:sz w:val="20"/>
        </w:rPr>
        <w:t xml:space="preserve">complementary power system model (the open-source model </w:t>
      </w:r>
      <w:proofErr w:type="spellStart"/>
      <w:r w:rsidRPr="005712E2">
        <w:rPr>
          <w:rFonts w:asciiTheme="minorHAnsi" w:hAnsiTheme="minorHAnsi" w:cstheme="minorHAnsi"/>
          <w:b w:val="0"/>
          <w:i w:val="0"/>
          <w:sz w:val="20"/>
        </w:rPr>
        <w:t>Balmorel</w:t>
      </w:r>
      <w:proofErr w:type="spellEnd"/>
      <w:r w:rsidRPr="005712E2">
        <w:rPr>
          <w:rFonts w:asciiTheme="minorHAnsi" w:hAnsiTheme="minorHAnsi" w:cstheme="minorHAnsi"/>
          <w:b w:val="0"/>
          <w:i w:val="0"/>
          <w:sz w:val="20"/>
        </w:rPr>
        <w:t xml:space="preserve">). Green-X delivers </w:t>
      </w:r>
      <w:r w:rsidR="000F77F5">
        <w:rPr>
          <w:rFonts w:asciiTheme="minorHAnsi" w:hAnsiTheme="minorHAnsi" w:cstheme="minorHAnsi"/>
          <w:b w:val="0"/>
          <w:i w:val="0"/>
          <w:sz w:val="20"/>
        </w:rPr>
        <w:t>the</w:t>
      </w:r>
      <w:r w:rsidRPr="005712E2">
        <w:rPr>
          <w:rFonts w:asciiTheme="minorHAnsi" w:hAnsiTheme="minorHAnsi" w:cstheme="minorHAnsi"/>
          <w:b w:val="0"/>
          <w:i w:val="0"/>
          <w:sz w:val="20"/>
        </w:rPr>
        <w:t xml:space="preserve"> first picture of future RES developments under distinct energy policy trends and cost</w:t>
      </w:r>
      <w:r w:rsidR="000F77F5">
        <w:rPr>
          <w:rFonts w:asciiTheme="minorHAnsi" w:hAnsiTheme="minorHAnsi" w:cstheme="minorHAnsi"/>
          <w:b w:val="0"/>
          <w:i w:val="0"/>
          <w:sz w:val="20"/>
        </w:rPr>
        <w:t>s</w:t>
      </w:r>
      <w:r w:rsidRPr="005712E2">
        <w:rPr>
          <w:rFonts w:asciiTheme="minorHAnsi" w:hAnsiTheme="minorHAnsi" w:cstheme="minorHAnsi"/>
          <w:b w:val="0"/>
          <w:i w:val="0"/>
          <w:sz w:val="20"/>
        </w:rPr>
        <w:t xml:space="preserve"> assumptions, indicating details on technology trends (investments, installed capacities and generation) and the geographical distribution of RES deployment as well as related costs (generation cost) and expenditures (capital, </w:t>
      </w:r>
      <w:proofErr w:type="gramStart"/>
      <w:r w:rsidRPr="005712E2">
        <w:rPr>
          <w:rFonts w:asciiTheme="minorHAnsi" w:hAnsiTheme="minorHAnsi" w:cstheme="minorHAnsi"/>
          <w:b w:val="0"/>
          <w:i w:val="0"/>
          <w:sz w:val="20"/>
        </w:rPr>
        <w:t>operation</w:t>
      </w:r>
      <w:proofErr w:type="gramEnd"/>
      <w:r w:rsidRPr="005712E2">
        <w:rPr>
          <w:rFonts w:asciiTheme="minorHAnsi" w:hAnsiTheme="minorHAnsi" w:cstheme="minorHAnsi"/>
          <w:b w:val="0"/>
          <w:i w:val="0"/>
          <w:sz w:val="20"/>
        </w:rPr>
        <w:t xml:space="preserve"> and support expenditures). For assessing the interplay between RES and the future electricity market, Green-X was complemented by its power-system companion </w:t>
      </w:r>
      <w:proofErr w:type="spellStart"/>
      <w:r w:rsidRPr="005712E2">
        <w:rPr>
          <w:rFonts w:asciiTheme="minorHAnsi" w:hAnsiTheme="minorHAnsi" w:cstheme="minorHAnsi"/>
          <w:b w:val="0"/>
          <w:i w:val="0"/>
          <w:sz w:val="20"/>
        </w:rPr>
        <w:t>Balmorel</w:t>
      </w:r>
      <w:proofErr w:type="spellEnd"/>
      <w:r w:rsidRPr="005712E2">
        <w:rPr>
          <w:rFonts w:asciiTheme="minorHAnsi" w:hAnsiTheme="minorHAnsi" w:cstheme="minorHAnsi"/>
          <w:b w:val="0"/>
          <w:i w:val="0"/>
          <w:sz w:val="20"/>
        </w:rPr>
        <w:t xml:space="preserve">. Thanks to a higher intertemporal resolution than in the RES investment model Green-X, </w:t>
      </w:r>
      <w:proofErr w:type="spellStart"/>
      <w:r w:rsidRPr="005712E2">
        <w:rPr>
          <w:rFonts w:asciiTheme="minorHAnsi" w:hAnsiTheme="minorHAnsi" w:cstheme="minorHAnsi"/>
          <w:b w:val="0"/>
          <w:i w:val="0"/>
          <w:sz w:val="20"/>
        </w:rPr>
        <w:t>Balmorel</w:t>
      </w:r>
      <w:proofErr w:type="spellEnd"/>
      <w:r w:rsidRPr="005712E2">
        <w:rPr>
          <w:rFonts w:asciiTheme="minorHAnsi" w:hAnsiTheme="minorHAnsi" w:cstheme="minorHAnsi"/>
          <w:b w:val="0"/>
          <w:i w:val="0"/>
          <w:sz w:val="20"/>
        </w:rPr>
        <w:t xml:space="preserve"> enable</w:t>
      </w:r>
      <w:r w:rsidR="000F77F5">
        <w:rPr>
          <w:rFonts w:asciiTheme="minorHAnsi" w:hAnsiTheme="minorHAnsi" w:cstheme="minorHAnsi"/>
          <w:b w:val="0"/>
          <w:i w:val="0"/>
          <w:sz w:val="20"/>
        </w:rPr>
        <w:t>s</w:t>
      </w:r>
      <w:r w:rsidRPr="005712E2">
        <w:rPr>
          <w:rFonts w:asciiTheme="minorHAnsi" w:hAnsiTheme="minorHAnsi" w:cstheme="minorHAnsi"/>
          <w:b w:val="0"/>
          <w:i w:val="0"/>
          <w:sz w:val="20"/>
        </w:rPr>
        <w:t xml:space="preserve"> a deeper analysis of the merit order effect and </w:t>
      </w:r>
      <w:r w:rsidR="000F77F5">
        <w:rPr>
          <w:rFonts w:asciiTheme="minorHAnsi" w:hAnsiTheme="minorHAnsi" w:cstheme="minorHAnsi"/>
          <w:b w:val="0"/>
          <w:i w:val="0"/>
          <w:sz w:val="20"/>
        </w:rPr>
        <w:t>corresponding</w:t>
      </w:r>
      <w:r w:rsidRPr="005712E2">
        <w:rPr>
          <w:rFonts w:asciiTheme="minorHAnsi" w:hAnsiTheme="minorHAnsi" w:cstheme="minorHAnsi"/>
          <w:b w:val="0"/>
          <w:i w:val="0"/>
          <w:sz w:val="20"/>
        </w:rPr>
        <w:t xml:space="preserve"> market values of the produced electricity of variable and dispatchable renewables and, therefore, shed</w:t>
      </w:r>
      <w:r w:rsidR="000904D7">
        <w:rPr>
          <w:rFonts w:asciiTheme="minorHAnsi" w:hAnsiTheme="minorHAnsi" w:cstheme="minorHAnsi"/>
          <w:b w:val="0"/>
          <w:i w:val="0"/>
          <w:sz w:val="20"/>
        </w:rPr>
        <w:t>s</w:t>
      </w:r>
      <w:r w:rsidRPr="005712E2">
        <w:rPr>
          <w:rFonts w:asciiTheme="minorHAnsi" w:hAnsiTheme="minorHAnsi" w:cstheme="minorHAnsi"/>
          <w:b w:val="0"/>
          <w:i w:val="0"/>
          <w:sz w:val="20"/>
        </w:rPr>
        <w:t xml:space="preserve"> further light on the interplay between supply, </w:t>
      </w:r>
      <w:proofErr w:type="gramStart"/>
      <w:r w:rsidRPr="005712E2">
        <w:rPr>
          <w:rFonts w:asciiTheme="minorHAnsi" w:hAnsiTheme="minorHAnsi" w:cstheme="minorHAnsi"/>
          <w:b w:val="0"/>
          <w:i w:val="0"/>
          <w:sz w:val="20"/>
        </w:rPr>
        <w:t>demand</w:t>
      </w:r>
      <w:proofErr w:type="gramEnd"/>
      <w:r w:rsidRPr="005712E2">
        <w:rPr>
          <w:rFonts w:asciiTheme="minorHAnsi" w:hAnsiTheme="minorHAnsi" w:cstheme="minorHAnsi"/>
          <w:b w:val="0"/>
          <w:i w:val="0"/>
          <w:sz w:val="20"/>
        </w:rPr>
        <w:t xml:space="preserve"> and storage in the electricity sector.</w:t>
      </w:r>
      <w:r w:rsidRPr="005712E2">
        <w:rPr>
          <w:rFonts w:asciiTheme="minorHAnsi" w:hAnsiTheme="minorHAnsi" w:cstheme="minorHAnsi"/>
          <w:b w:val="0"/>
          <w:i w:val="0"/>
          <w:sz w:val="20"/>
          <w:szCs w:val="24"/>
        </w:rPr>
        <w:t xml:space="preserve"> </w:t>
      </w:r>
    </w:p>
    <w:p w14:paraId="119249D8" w14:textId="251B2FBF" w:rsidR="005712E2" w:rsidRPr="005712E2" w:rsidRDefault="000F77F5" w:rsidP="005712E2">
      <w:pPr>
        <w:autoSpaceDE w:val="0"/>
        <w:autoSpaceDN w:val="0"/>
        <w:adjustRightInd w:val="0"/>
        <w:rPr>
          <w:rFonts w:asciiTheme="minorHAnsi" w:eastAsiaTheme="minorHAnsi" w:hAnsiTheme="minorHAnsi" w:cstheme="minorHAnsi"/>
          <w:color w:val="000000"/>
        </w:rPr>
      </w:pPr>
      <w:r>
        <w:rPr>
          <w:rFonts w:asciiTheme="minorHAnsi" w:eastAsiaTheme="minorHAnsi" w:hAnsiTheme="minorHAnsi" w:cstheme="minorHAnsi"/>
          <w:color w:val="000000"/>
        </w:rPr>
        <w:t>Our</w:t>
      </w:r>
      <w:r w:rsidR="005712E2" w:rsidRPr="005712E2">
        <w:rPr>
          <w:rFonts w:asciiTheme="minorHAnsi" w:eastAsiaTheme="minorHAnsi" w:hAnsiTheme="minorHAnsi" w:cstheme="minorHAnsi"/>
          <w:color w:val="000000"/>
        </w:rPr>
        <w:t xml:space="preserve"> modelling </w:t>
      </w:r>
      <w:r>
        <w:rPr>
          <w:rFonts w:asciiTheme="minorHAnsi" w:eastAsiaTheme="minorHAnsi" w:hAnsiTheme="minorHAnsi" w:cstheme="minorHAnsi"/>
          <w:color w:val="000000"/>
        </w:rPr>
        <w:t>allows us to</w:t>
      </w:r>
      <w:r w:rsidR="005712E2" w:rsidRPr="005712E2">
        <w:rPr>
          <w:rFonts w:asciiTheme="minorHAnsi" w:eastAsiaTheme="minorHAnsi" w:hAnsiTheme="minorHAnsi" w:cstheme="minorHAnsi"/>
          <w:color w:val="000000"/>
        </w:rPr>
        <w:t xml:space="preserve"> conduct a feasibility check of planned RES use by 2030 </w:t>
      </w:r>
      <w:r>
        <w:rPr>
          <w:rFonts w:asciiTheme="minorHAnsi" w:eastAsiaTheme="minorHAnsi" w:hAnsiTheme="minorHAnsi" w:cstheme="minorHAnsi"/>
          <w:color w:val="000000"/>
        </w:rPr>
        <w:t>following</w:t>
      </w:r>
      <w:r w:rsidR="005712E2" w:rsidRPr="005712E2">
        <w:rPr>
          <w:rFonts w:asciiTheme="minorHAnsi" w:eastAsiaTheme="minorHAnsi" w:hAnsiTheme="minorHAnsi" w:cstheme="minorHAnsi"/>
          <w:color w:val="000000"/>
        </w:rPr>
        <w:t xml:space="preserve"> the requirements arising from </w:t>
      </w:r>
      <w:r>
        <w:rPr>
          <w:rFonts w:asciiTheme="minorHAnsi" w:eastAsiaTheme="minorHAnsi" w:hAnsiTheme="minorHAnsi" w:cstheme="minorHAnsi"/>
          <w:color w:val="000000"/>
        </w:rPr>
        <w:t>increased</w:t>
      </w:r>
      <w:r w:rsidR="005712E2" w:rsidRPr="005712E2">
        <w:rPr>
          <w:rFonts w:asciiTheme="minorHAnsi" w:eastAsiaTheme="minorHAnsi" w:hAnsiTheme="minorHAnsi" w:cstheme="minorHAnsi"/>
          <w:color w:val="000000"/>
        </w:rPr>
        <w:t xml:space="preserve"> RES ambition under the European Green Deal</w:t>
      </w:r>
      <w:r>
        <w:rPr>
          <w:rFonts w:asciiTheme="minorHAnsi" w:eastAsiaTheme="minorHAnsi" w:hAnsiTheme="minorHAnsi" w:cstheme="minorHAnsi"/>
          <w:color w:val="000000"/>
        </w:rPr>
        <w:t>, followed by identifying</w:t>
      </w:r>
      <w:r w:rsidR="005712E2" w:rsidRPr="005712E2">
        <w:rPr>
          <w:rFonts w:asciiTheme="minorHAnsi" w:eastAsiaTheme="minorHAnsi" w:hAnsiTheme="minorHAnsi" w:cstheme="minorHAnsi"/>
          <w:color w:val="000000"/>
        </w:rPr>
        <w:t xml:space="preserve"> the need for RES cooperation. </w:t>
      </w:r>
    </w:p>
    <w:p w14:paraId="755ABC21" w14:textId="40543EFA" w:rsidR="005712E2" w:rsidRPr="005712E2" w:rsidRDefault="000F77F5" w:rsidP="005712E2">
      <w:pPr>
        <w:autoSpaceDE w:val="0"/>
        <w:autoSpaceDN w:val="0"/>
        <w:adjustRightInd w:val="0"/>
        <w:rPr>
          <w:rFonts w:asciiTheme="minorHAnsi" w:eastAsiaTheme="minorHAnsi" w:hAnsiTheme="minorHAnsi" w:cstheme="minorHAnsi"/>
          <w:color w:val="000000"/>
        </w:rPr>
      </w:pPr>
      <w:r>
        <w:rPr>
          <w:rFonts w:asciiTheme="minorHAnsi" w:eastAsiaTheme="minorHAnsi" w:hAnsiTheme="minorHAnsi" w:cstheme="minorHAnsi"/>
          <w:color w:val="000000"/>
        </w:rPr>
        <w:t>T</w:t>
      </w:r>
      <w:r w:rsidR="005712E2" w:rsidRPr="005712E2">
        <w:rPr>
          <w:rFonts w:asciiTheme="minorHAnsi" w:eastAsiaTheme="minorHAnsi" w:hAnsiTheme="minorHAnsi" w:cstheme="minorHAnsi"/>
          <w:color w:val="000000"/>
        </w:rPr>
        <w:t xml:space="preserve">wo distinct scenarios were </w:t>
      </w:r>
      <w:r>
        <w:rPr>
          <w:rFonts w:asciiTheme="minorHAnsi" w:eastAsiaTheme="minorHAnsi" w:hAnsiTheme="minorHAnsi" w:cstheme="minorHAnsi"/>
          <w:color w:val="000000"/>
        </w:rPr>
        <w:t>developed</w:t>
      </w:r>
      <w:r w:rsidR="005712E2" w:rsidRPr="005712E2">
        <w:rPr>
          <w:rFonts w:asciiTheme="minorHAnsi" w:eastAsiaTheme="minorHAnsi" w:hAnsiTheme="minorHAnsi" w:cstheme="minorHAnsi"/>
          <w:color w:val="000000"/>
        </w:rPr>
        <w:t xml:space="preserve">: </w:t>
      </w:r>
    </w:p>
    <w:p w14:paraId="34F036D9" w14:textId="1C71A00C" w:rsidR="005712E2" w:rsidRPr="005712E2" w:rsidRDefault="005712E2" w:rsidP="005712E2">
      <w:pPr>
        <w:autoSpaceDE w:val="0"/>
        <w:autoSpaceDN w:val="0"/>
        <w:adjustRightInd w:val="0"/>
        <w:rPr>
          <w:rFonts w:asciiTheme="minorHAnsi" w:eastAsiaTheme="minorHAnsi" w:hAnsiTheme="minorHAnsi" w:cstheme="minorHAnsi"/>
          <w:color w:val="000000"/>
        </w:rPr>
      </w:pPr>
      <w:r w:rsidRPr="005712E2">
        <w:rPr>
          <w:rFonts w:asciiTheme="minorHAnsi" w:eastAsiaTheme="minorHAnsi" w:hAnsiTheme="minorHAnsi" w:cstheme="minorHAnsi"/>
          <w:color w:val="000000"/>
        </w:rPr>
        <w:t xml:space="preserve">• National perspective / without RES cooperation: This scenario aims </w:t>
      </w:r>
      <w:r w:rsidR="000F77F5">
        <w:rPr>
          <w:rFonts w:asciiTheme="minorHAnsi" w:eastAsiaTheme="minorHAnsi" w:hAnsiTheme="minorHAnsi" w:cstheme="minorHAnsi"/>
          <w:color w:val="000000"/>
        </w:rPr>
        <w:t>to reflect</w:t>
      </w:r>
      <w:r w:rsidRPr="005712E2">
        <w:rPr>
          <w:rFonts w:asciiTheme="minorHAnsi" w:eastAsiaTheme="minorHAnsi" w:hAnsiTheme="minorHAnsi" w:cstheme="minorHAnsi"/>
          <w:color w:val="000000"/>
        </w:rPr>
        <w:t xml:space="preserve"> the national perspective </w:t>
      </w:r>
      <w:r w:rsidR="000F77F5">
        <w:rPr>
          <w:rFonts w:asciiTheme="minorHAnsi" w:eastAsiaTheme="minorHAnsi" w:hAnsiTheme="minorHAnsi" w:cstheme="minorHAnsi"/>
          <w:color w:val="000000"/>
        </w:rPr>
        <w:t>following</w:t>
      </w:r>
      <w:r w:rsidRPr="005712E2">
        <w:rPr>
          <w:rFonts w:asciiTheme="minorHAnsi" w:eastAsiaTheme="minorHAnsi" w:hAnsiTheme="minorHAnsi" w:cstheme="minorHAnsi"/>
          <w:color w:val="000000"/>
        </w:rPr>
        <w:t xml:space="preserve"> Green Deal needs and, </w:t>
      </w:r>
      <w:proofErr w:type="gramStart"/>
      <w:r w:rsidRPr="005712E2">
        <w:rPr>
          <w:rFonts w:asciiTheme="minorHAnsi" w:eastAsiaTheme="minorHAnsi" w:hAnsiTheme="minorHAnsi" w:cstheme="minorHAnsi"/>
          <w:color w:val="000000"/>
        </w:rPr>
        <w:t>similar to</w:t>
      </w:r>
      <w:proofErr w:type="gramEnd"/>
      <w:r w:rsidRPr="005712E2">
        <w:rPr>
          <w:rFonts w:asciiTheme="minorHAnsi" w:eastAsiaTheme="minorHAnsi" w:hAnsiTheme="minorHAnsi" w:cstheme="minorHAnsi"/>
          <w:color w:val="000000"/>
        </w:rPr>
        <w:t xml:space="preserve"> above, a 2030 RES target fulfilment using domestic RES only (named “Without Cooperation”). </w:t>
      </w:r>
    </w:p>
    <w:p w14:paraId="7E74FC38" w14:textId="524354BB" w:rsidR="005712E2" w:rsidRPr="005712E2" w:rsidRDefault="005712E2" w:rsidP="005712E2">
      <w:pPr>
        <w:autoSpaceDE w:val="0"/>
        <w:autoSpaceDN w:val="0"/>
        <w:adjustRightInd w:val="0"/>
        <w:rPr>
          <w:rFonts w:asciiTheme="minorHAnsi" w:eastAsiaTheme="minorHAnsi" w:hAnsiTheme="minorHAnsi" w:cstheme="minorHAnsi"/>
          <w:color w:val="000000"/>
        </w:rPr>
      </w:pPr>
      <w:r w:rsidRPr="005712E2">
        <w:rPr>
          <w:rFonts w:asciiTheme="minorHAnsi" w:eastAsiaTheme="minorHAnsi" w:hAnsiTheme="minorHAnsi" w:cstheme="minorHAnsi"/>
          <w:color w:val="000000"/>
        </w:rPr>
        <w:t xml:space="preserve">• European perspective / with RES cooperation: The other scenario offers an EU perspective for meeting the required increase of the RES shares </w:t>
      </w:r>
      <w:r w:rsidR="000F77F5">
        <w:rPr>
          <w:rFonts w:asciiTheme="minorHAnsi" w:eastAsiaTheme="minorHAnsi" w:hAnsiTheme="minorHAnsi" w:cstheme="minorHAnsi"/>
          <w:color w:val="000000"/>
        </w:rPr>
        <w:t>following</w:t>
      </w:r>
      <w:r w:rsidRPr="005712E2">
        <w:rPr>
          <w:rFonts w:asciiTheme="minorHAnsi" w:eastAsiaTheme="minorHAnsi" w:hAnsiTheme="minorHAnsi" w:cstheme="minorHAnsi"/>
          <w:color w:val="000000"/>
        </w:rPr>
        <w:t xml:space="preserve"> the European Green Deal, and, accordingly, a proactive use of </w:t>
      </w:r>
      <w:r w:rsidRPr="005712E2">
        <w:rPr>
          <w:rFonts w:asciiTheme="minorHAnsi" w:eastAsiaTheme="minorHAnsi" w:hAnsiTheme="minorHAnsi" w:cstheme="minorHAnsi"/>
          <w:color w:val="000000"/>
        </w:rPr>
        <w:lastRenderedPageBreak/>
        <w:t xml:space="preserve">cooperation mechanism (named “With Cooperation”) to allocate RES investments across the </w:t>
      </w:r>
      <w:r w:rsidR="000F77F5">
        <w:rPr>
          <w:rFonts w:asciiTheme="minorHAnsi" w:eastAsiaTheme="minorHAnsi" w:hAnsiTheme="minorHAnsi" w:cstheme="minorHAnsi"/>
          <w:color w:val="000000"/>
        </w:rPr>
        <w:t>entir</w:t>
      </w:r>
      <w:r w:rsidRPr="005712E2">
        <w:rPr>
          <w:rFonts w:asciiTheme="minorHAnsi" w:eastAsiaTheme="minorHAnsi" w:hAnsiTheme="minorHAnsi" w:cstheme="minorHAnsi"/>
          <w:color w:val="000000"/>
        </w:rPr>
        <w:t>e EU cost</w:t>
      </w:r>
      <w:r w:rsidR="000F77F5">
        <w:rPr>
          <w:rFonts w:asciiTheme="minorHAnsi" w:eastAsiaTheme="minorHAnsi" w:hAnsiTheme="minorHAnsi" w:cstheme="minorHAnsi"/>
          <w:color w:val="000000"/>
        </w:rPr>
        <w:t>-</w:t>
      </w:r>
      <w:r w:rsidRPr="005712E2">
        <w:rPr>
          <w:rFonts w:asciiTheme="minorHAnsi" w:eastAsiaTheme="minorHAnsi" w:hAnsiTheme="minorHAnsi" w:cstheme="minorHAnsi"/>
          <w:color w:val="000000"/>
        </w:rPr>
        <w:t xml:space="preserve">effectively. </w:t>
      </w:r>
    </w:p>
    <w:p w14:paraId="38C6113C" w14:textId="77777777" w:rsidR="005712E2" w:rsidRPr="005712E2" w:rsidRDefault="005712E2" w:rsidP="005712E2"/>
    <w:p w14:paraId="40E36D16" w14:textId="71F417A2" w:rsidR="00152492" w:rsidRPr="005712E2" w:rsidRDefault="009C4DB4" w:rsidP="005712E2">
      <w:pPr>
        <w:pStyle w:val="berschrift2"/>
        <w:jc w:val="both"/>
        <w:rPr>
          <w:rFonts w:asciiTheme="minorHAnsi" w:hAnsiTheme="minorHAnsi" w:cstheme="minorHAnsi"/>
          <w:i w:val="0"/>
          <w:sz w:val="24"/>
          <w:szCs w:val="24"/>
        </w:rPr>
      </w:pPr>
      <w:r w:rsidRPr="005712E2">
        <w:rPr>
          <w:rFonts w:asciiTheme="minorHAnsi" w:hAnsiTheme="minorHAnsi" w:cstheme="minorHAnsi"/>
          <w:i w:val="0"/>
          <w:sz w:val="24"/>
          <w:szCs w:val="24"/>
        </w:rPr>
        <w:t>Results</w:t>
      </w:r>
      <w:r w:rsidR="00152492" w:rsidRPr="005712E2">
        <w:rPr>
          <w:rFonts w:asciiTheme="minorHAnsi" w:hAnsiTheme="minorHAnsi" w:cstheme="minorHAnsi"/>
          <w:i w:val="0"/>
          <w:sz w:val="24"/>
          <w:szCs w:val="24"/>
        </w:rPr>
        <w:t xml:space="preserve"> &amp; Conclusions</w:t>
      </w:r>
    </w:p>
    <w:p w14:paraId="6050F62B" w14:textId="0559EDF0" w:rsidR="00152492" w:rsidRPr="005712E2" w:rsidRDefault="00152492" w:rsidP="005712E2">
      <w:pPr>
        <w:rPr>
          <w:rFonts w:asciiTheme="minorHAnsi" w:hAnsiTheme="minorHAnsi" w:cstheme="minorHAnsi"/>
          <w:b/>
          <w:bCs/>
        </w:rPr>
      </w:pPr>
      <w:r w:rsidRPr="005712E2">
        <w:rPr>
          <w:rFonts w:asciiTheme="minorHAnsi" w:hAnsiTheme="minorHAnsi" w:cstheme="minorHAnsi"/>
          <w:b/>
          <w:bCs/>
        </w:rPr>
        <w:t>Green Deal needs: a s</w:t>
      </w:r>
      <w:r w:rsidR="000F77F5">
        <w:rPr>
          <w:rFonts w:asciiTheme="minorHAnsi" w:hAnsiTheme="minorHAnsi" w:cstheme="minorHAnsi"/>
          <w:b/>
          <w:bCs/>
        </w:rPr>
        <w:t>ubstantial</w:t>
      </w:r>
      <w:r w:rsidRPr="005712E2">
        <w:rPr>
          <w:rFonts w:asciiTheme="minorHAnsi" w:hAnsiTheme="minorHAnsi" w:cstheme="minorHAnsi"/>
          <w:b/>
          <w:bCs/>
        </w:rPr>
        <w:t xml:space="preserve"> increase of the RES ambition at short notice (by 2030) causes a strong demand for RES cooperation across the whole EU</w:t>
      </w:r>
    </w:p>
    <w:p w14:paraId="1D00B587" w14:textId="2B773398" w:rsidR="00152492" w:rsidRPr="005712E2" w:rsidRDefault="00152492" w:rsidP="005712E2">
      <w:pPr>
        <w:rPr>
          <w:rFonts w:asciiTheme="minorHAnsi" w:hAnsiTheme="minorHAnsi" w:cstheme="minorHAnsi"/>
        </w:rPr>
      </w:pPr>
      <w:r w:rsidRPr="005712E2">
        <w:rPr>
          <w:rFonts w:asciiTheme="minorHAnsi" w:hAnsiTheme="minorHAnsi" w:cstheme="minorHAnsi"/>
        </w:rPr>
        <w:t xml:space="preserve">The EU Green Deal and the corresponding increase in the 2030 climate ambition will require a significantly stronger RES uptake at short notice. </w:t>
      </w:r>
      <w:r w:rsidR="000F77F5">
        <w:rPr>
          <w:rFonts w:asciiTheme="minorHAnsi" w:hAnsiTheme="minorHAnsi" w:cstheme="minorHAnsi"/>
        </w:rPr>
        <w:t>Following</w:t>
      </w:r>
      <w:r w:rsidRPr="005712E2">
        <w:rPr>
          <w:rFonts w:asciiTheme="minorHAnsi" w:hAnsiTheme="minorHAnsi" w:cstheme="minorHAnsi"/>
        </w:rPr>
        <w:t xml:space="preserve"> (EC, 2020c)</w:t>
      </w:r>
      <w:r w:rsidR="000F77F5">
        <w:rPr>
          <w:rFonts w:asciiTheme="minorHAnsi" w:hAnsiTheme="minorHAnsi" w:cstheme="minorHAnsi"/>
        </w:rPr>
        <w:t>,</w:t>
      </w:r>
      <w:r w:rsidRPr="005712E2">
        <w:rPr>
          <w:rFonts w:asciiTheme="minorHAnsi" w:hAnsiTheme="minorHAnsi" w:cstheme="minorHAnsi"/>
        </w:rPr>
        <w:t xml:space="preserve"> we pre</w:t>
      </w:r>
      <w:r w:rsidR="000F77F5">
        <w:rPr>
          <w:rFonts w:asciiTheme="minorHAnsi" w:hAnsiTheme="minorHAnsi" w:cstheme="minorHAnsi"/>
        </w:rPr>
        <w:t>dicted</w:t>
      </w:r>
      <w:r w:rsidRPr="005712E2">
        <w:rPr>
          <w:rFonts w:asciiTheme="minorHAnsi" w:hAnsiTheme="minorHAnsi" w:cstheme="minorHAnsi"/>
        </w:rPr>
        <w:t xml:space="preserve"> an increase of the 2030 EU RES target to (at least) 40%. Modelling revealed that without RES cooperation</w:t>
      </w:r>
      <w:r w:rsidR="000F77F5">
        <w:rPr>
          <w:rFonts w:asciiTheme="minorHAnsi" w:hAnsiTheme="minorHAnsi" w:cstheme="minorHAnsi"/>
        </w:rPr>
        <w:t>, only an EU RES share of 37.8% appears feasible,</w:t>
      </w:r>
      <w:r w:rsidRPr="005712E2">
        <w:rPr>
          <w:rFonts w:asciiTheme="minorHAnsi" w:hAnsiTheme="minorHAnsi" w:cstheme="minorHAnsi"/>
        </w:rPr>
        <w:t xml:space="preserve"> whereas</w:t>
      </w:r>
      <w:r w:rsidR="000F77F5">
        <w:rPr>
          <w:rFonts w:asciiTheme="minorHAnsi" w:hAnsiTheme="minorHAnsi" w:cstheme="minorHAnsi"/>
        </w:rPr>
        <w:t>,</w:t>
      </w:r>
      <w:r w:rsidRPr="005712E2">
        <w:rPr>
          <w:rFonts w:asciiTheme="minorHAnsi" w:hAnsiTheme="minorHAnsi" w:cstheme="minorHAnsi"/>
        </w:rPr>
        <w:t xml:space="preserve"> with RES cooperation</w:t>
      </w:r>
      <w:r w:rsidR="000F77F5">
        <w:rPr>
          <w:rFonts w:asciiTheme="minorHAnsi" w:hAnsiTheme="minorHAnsi" w:cstheme="minorHAnsi"/>
        </w:rPr>
        <w:t>,</w:t>
      </w:r>
      <w:r w:rsidRPr="005712E2">
        <w:rPr>
          <w:rFonts w:asciiTheme="minorHAnsi" w:hAnsiTheme="minorHAnsi" w:cstheme="minorHAnsi"/>
        </w:rPr>
        <w:t xml:space="preserve"> the planned deployment (40%) can be reached. Thus, the conclusion can be drawn that under these new framework conditions</w:t>
      </w:r>
      <w:r w:rsidR="000F77F5">
        <w:rPr>
          <w:rFonts w:asciiTheme="minorHAnsi" w:hAnsiTheme="minorHAnsi" w:cstheme="minorHAnsi"/>
        </w:rPr>
        <w:t>,</w:t>
      </w:r>
      <w:r w:rsidRPr="005712E2">
        <w:rPr>
          <w:rFonts w:asciiTheme="minorHAnsi" w:hAnsiTheme="minorHAnsi" w:cstheme="minorHAnsi"/>
        </w:rPr>
        <w:t xml:space="preserve"> EU-wide RES cooperation appears essential for achieving a </w:t>
      </w:r>
      <w:r w:rsidR="000F77F5">
        <w:rPr>
          <w:rFonts w:asciiTheme="minorHAnsi" w:hAnsiTheme="minorHAnsi" w:cstheme="minorHAnsi"/>
        </w:rPr>
        <w:t>more robust</w:t>
      </w:r>
      <w:r w:rsidRPr="005712E2">
        <w:rPr>
          <w:rFonts w:asciiTheme="minorHAnsi" w:hAnsiTheme="minorHAnsi" w:cstheme="minorHAnsi"/>
        </w:rPr>
        <w:t xml:space="preserve"> RES uptake at short notice (</w:t>
      </w:r>
      <w:proofErr w:type="gramStart"/>
      <w:r w:rsidRPr="005712E2">
        <w:rPr>
          <w:rFonts w:asciiTheme="minorHAnsi" w:hAnsiTheme="minorHAnsi" w:cstheme="minorHAnsi"/>
        </w:rPr>
        <w:t>i.e.</w:t>
      </w:r>
      <w:proofErr w:type="gramEnd"/>
      <w:r w:rsidRPr="005712E2">
        <w:rPr>
          <w:rFonts w:asciiTheme="minorHAnsi" w:hAnsiTheme="minorHAnsi" w:cstheme="minorHAnsi"/>
        </w:rPr>
        <w:t xml:space="preserve"> by 2030).</w:t>
      </w:r>
    </w:p>
    <w:p w14:paraId="3F40B0B8" w14:textId="17032630" w:rsidR="00152492" w:rsidRPr="005712E2" w:rsidRDefault="00152492" w:rsidP="005712E2">
      <w:pPr>
        <w:rPr>
          <w:rFonts w:asciiTheme="minorHAnsi" w:hAnsiTheme="minorHAnsi" w:cstheme="minorHAnsi"/>
          <w:b/>
          <w:bCs/>
        </w:rPr>
      </w:pPr>
      <w:r w:rsidRPr="005712E2">
        <w:rPr>
          <w:rFonts w:asciiTheme="minorHAnsi" w:hAnsiTheme="minorHAnsi" w:cstheme="minorHAnsi"/>
          <w:b/>
          <w:bCs/>
        </w:rPr>
        <w:t xml:space="preserve">Impacts of RES cooperation: facilitating the (renewable) energy transition and lowering </w:t>
      </w:r>
      <w:r w:rsidR="000F77F5">
        <w:rPr>
          <w:rFonts w:asciiTheme="minorHAnsi" w:hAnsiTheme="minorHAnsi" w:cstheme="minorHAnsi"/>
          <w:b/>
          <w:bCs/>
        </w:rPr>
        <w:t xml:space="preserve">the </w:t>
      </w:r>
      <w:r w:rsidRPr="005712E2">
        <w:rPr>
          <w:rFonts w:asciiTheme="minorHAnsi" w:hAnsiTheme="minorHAnsi" w:cstheme="minorHAnsi"/>
          <w:b/>
          <w:bCs/>
        </w:rPr>
        <w:t>related cost</w:t>
      </w:r>
    </w:p>
    <w:p w14:paraId="2FC850EC" w14:textId="3B61B532" w:rsidR="00152492" w:rsidRPr="005712E2" w:rsidRDefault="00152492" w:rsidP="000F77F5">
      <w:pPr>
        <w:rPr>
          <w:rFonts w:asciiTheme="minorHAnsi" w:hAnsiTheme="minorHAnsi" w:cstheme="minorHAnsi"/>
        </w:rPr>
      </w:pPr>
      <w:r w:rsidRPr="005712E2">
        <w:rPr>
          <w:rFonts w:asciiTheme="minorHAnsi" w:hAnsiTheme="minorHAnsi" w:cstheme="minorHAnsi"/>
        </w:rPr>
        <w:t xml:space="preserve">Apart from </w:t>
      </w:r>
      <w:r w:rsidR="000F77F5">
        <w:rPr>
          <w:rFonts w:asciiTheme="minorHAnsi" w:hAnsiTheme="minorHAnsi" w:cstheme="minorHAnsi"/>
        </w:rPr>
        <w:t xml:space="preserve">the </w:t>
      </w:r>
      <w:r w:rsidRPr="005712E2">
        <w:rPr>
          <w:rFonts w:asciiTheme="minorHAnsi" w:hAnsiTheme="minorHAnsi" w:cstheme="minorHAnsi"/>
        </w:rPr>
        <w:t>above</w:t>
      </w:r>
      <w:r w:rsidR="000F77F5">
        <w:rPr>
          <w:rFonts w:asciiTheme="minorHAnsi" w:hAnsiTheme="minorHAnsi" w:cstheme="minorHAnsi"/>
        </w:rPr>
        <w:t>-</w:t>
      </w:r>
      <w:r w:rsidRPr="005712E2">
        <w:rPr>
          <w:rFonts w:asciiTheme="minorHAnsi" w:hAnsiTheme="minorHAnsi" w:cstheme="minorHAnsi"/>
        </w:rPr>
        <w:t>identified needs for RES cooperation, there are several benefits of RES cooperation: Firstly, RES cooperation facilitates a levelling of country-specific risk for RES investors. Secondly, a (more) fair effort sharing can then be triggered by RES cooperation</w:t>
      </w:r>
      <w:r w:rsidR="000F77F5">
        <w:rPr>
          <w:rFonts w:asciiTheme="minorHAnsi" w:hAnsiTheme="minorHAnsi" w:cstheme="minorHAnsi"/>
        </w:rPr>
        <w:t>. T</w:t>
      </w:r>
      <w:r w:rsidRPr="005712E2">
        <w:rPr>
          <w:rFonts w:asciiTheme="minorHAnsi" w:hAnsiTheme="minorHAnsi" w:cstheme="minorHAnsi"/>
        </w:rPr>
        <w:t xml:space="preserve">hirdly, it can be expected that this lowers the overall cost </w:t>
      </w:r>
      <w:r w:rsidR="00613A7E">
        <w:rPr>
          <w:rFonts w:asciiTheme="minorHAnsi" w:hAnsiTheme="minorHAnsi" w:cstheme="minorHAnsi"/>
        </w:rPr>
        <w:t>of</w:t>
      </w:r>
      <w:r w:rsidRPr="005712E2">
        <w:rPr>
          <w:rFonts w:asciiTheme="minorHAnsi" w:hAnsiTheme="minorHAnsi" w:cstheme="minorHAnsi"/>
        </w:rPr>
        <w:t xml:space="preserve"> reaching ambitious future RES targets</w:t>
      </w:r>
      <w:r w:rsidR="000F77F5">
        <w:rPr>
          <w:rFonts w:asciiTheme="minorHAnsi" w:hAnsiTheme="minorHAnsi" w:cstheme="minorHAnsi"/>
        </w:rPr>
        <w:t>.</w:t>
      </w:r>
    </w:p>
    <w:p w14:paraId="32D52B8D" w14:textId="2E710F90" w:rsidR="00152492" w:rsidRPr="005712E2" w:rsidRDefault="00152492" w:rsidP="005712E2">
      <w:pPr>
        <w:rPr>
          <w:rFonts w:asciiTheme="minorHAnsi" w:hAnsiTheme="minorHAnsi" w:cstheme="minorHAnsi"/>
        </w:rPr>
      </w:pPr>
      <w:r w:rsidRPr="005712E2">
        <w:rPr>
          <w:rFonts w:asciiTheme="minorHAnsi" w:hAnsiTheme="minorHAnsi" w:cstheme="minorHAnsi"/>
        </w:rPr>
        <w:t xml:space="preserve">Modelling revealed that, within this decade (up to 2030), the bulk of support expenditures for RES in the electricity sector will be dedicated to those RES systems installed until 2020. New RES installations being deployed in forthcoming years are expected to come at lower cost (compared to past RES installations) and consequently require less financial support, thanks to technological progress achieved and expected in </w:t>
      </w:r>
      <w:r w:rsidR="000F77F5">
        <w:rPr>
          <w:rFonts w:asciiTheme="minorHAnsi" w:hAnsiTheme="minorHAnsi" w:cstheme="minorHAnsi"/>
        </w:rPr>
        <w:t xml:space="preserve">the </w:t>
      </w:r>
      <w:r w:rsidRPr="005712E2">
        <w:rPr>
          <w:rFonts w:asciiTheme="minorHAnsi" w:hAnsiTheme="minorHAnsi" w:cstheme="minorHAnsi"/>
        </w:rPr>
        <w:t>forthcoming years. RES cooperation and a selection of an appropriate policy approach can then help to lower the policy cost further:</w:t>
      </w:r>
    </w:p>
    <w:p w14:paraId="2B44AA80" w14:textId="7DB32FAF" w:rsidR="005712E2" w:rsidRPr="005712E2" w:rsidRDefault="00152492" w:rsidP="005712E2">
      <w:pPr>
        <w:pStyle w:val="Listenabsatz"/>
        <w:numPr>
          <w:ilvl w:val="0"/>
          <w:numId w:val="4"/>
        </w:numPr>
        <w:spacing w:line="240" w:lineRule="auto"/>
        <w:rPr>
          <w:rFonts w:asciiTheme="minorHAnsi" w:hAnsiTheme="minorHAnsi" w:cstheme="minorHAnsi"/>
          <w:sz w:val="20"/>
          <w:szCs w:val="20"/>
        </w:rPr>
      </w:pPr>
      <w:r w:rsidRPr="005712E2">
        <w:rPr>
          <w:rFonts w:asciiTheme="minorHAnsi" w:hAnsiTheme="minorHAnsi" w:cstheme="minorHAnsi"/>
          <w:sz w:val="20"/>
          <w:szCs w:val="20"/>
        </w:rPr>
        <w:t>RES cooperation can help to lower the cost burden significantly. By the assumed full use of RES cooperation (done</w:t>
      </w:r>
      <w:r w:rsidR="000F77F5">
        <w:rPr>
          <w:rFonts w:asciiTheme="minorHAnsi" w:hAnsiTheme="minorHAnsi" w:cstheme="minorHAnsi"/>
          <w:sz w:val="20"/>
          <w:szCs w:val="20"/>
        </w:rPr>
        <w:t>,</w:t>
      </w:r>
      <w:r w:rsidRPr="005712E2">
        <w:rPr>
          <w:rFonts w:asciiTheme="minorHAnsi" w:hAnsiTheme="minorHAnsi" w:cstheme="minorHAnsi"/>
          <w:sz w:val="20"/>
          <w:szCs w:val="20"/>
        </w:rPr>
        <w:t xml:space="preserve"> </w:t>
      </w:r>
      <w:proofErr w:type="gramStart"/>
      <w:r w:rsidRPr="005712E2">
        <w:rPr>
          <w:rFonts w:asciiTheme="minorHAnsi" w:hAnsiTheme="minorHAnsi" w:cstheme="minorHAnsi"/>
          <w:sz w:val="20"/>
          <w:szCs w:val="20"/>
        </w:rPr>
        <w:t>e.g.</w:t>
      </w:r>
      <w:proofErr w:type="gramEnd"/>
      <w:r w:rsidRPr="005712E2">
        <w:rPr>
          <w:rFonts w:asciiTheme="minorHAnsi" w:hAnsiTheme="minorHAnsi" w:cstheme="minorHAnsi"/>
          <w:sz w:val="20"/>
          <w:szCs w:val="20"/>
        </w:rPr>
        <w:t xml:space="preserve"> via EU-wide or cross-border RES auctions) at </w:t>
      </w:r>
      <w:r w:rsidR="000F77F5">
        <w:rPr>
          <w:rFonts w:asciiTheme="minorHAnsi" w:hAnsiTheme="minorHAnsi" w:cstheme="minorHAnsi"/>
          <w:sz w:val="20"/>
          <w:szCs w:val="20"/>
        </w:rPr>
        <w:t xml:space="preserve">the </w:t>
      </w:r>
      <w:r w:rsidRPr="005712E2">
        <w:rPr>
          <w:rFonts w:asciiTheme="minorHAnsi" w:hAnsiTheme="minorHAnsi" w:cstheme="minorHAnsi"/>
          <w:sz w:val="20"/>
          <w:szCs w:val="20"/>
        </w:rPr>
        <w:t>EU level, support expenditures for new RES installations (i.e. installed post</w:t>
      </w:r>
      <w:r w:rsidR="000F77F5">
        <w:rPr>
          <w:rFonts w:asciiTheme="minorHAnsi" w:hAnsiTheme="minorHAnsi" w:cstheme="minorHAnsi"/>
          <w:sz w:val="20"/>
          <w:szCs w:val="20"/>
        </w:rPr>
        <w:t>-</w:t>
      </w:r>
      <w:r w:rsidRPr="005712E2">
        <w:rPr>
          <w:rFonts w:asciiTheme="minorHAnsi" w:hAnsiTheme="minorHAnsi" w:cstheme="minorHAnsi"/>
          <w:sz w:val="20"/>
          <w:szCs w:val="20"/>
        </w:rPr>
        <w:t>2020) can be reduced by 23% to 38% percentage points compared to default case where no such cooperation was presumed.</w:t>
      </w:r>
    </w:p>
    <w:p w14:paraId="06DF88C7" w14:textId="55F2EF3F" w:rsidR="00E866B2" w:rsidRPr="005712E2" w:rsidRDefault="00152492" w:rsidP="005712E2">
      <w:pPr>
        <w:pStyle w:val="Listenabsatz"/>
        <w:numPr>
          <w:ilvl w:val="0"/>
          <w:numId w:val="4"/>
        </w:numPr>
        <w:spacing w:line="240" w:lineRule="auto"/>
        <w:rPr>
          <w:rFonts w:asciiTheme="minorHAnsi" w:hAnsiTheme="minorHAnsi" w:cstheme="minorHAnsi"/>
          <w:sz w:val="20"/>
          <w:szCs w:val="20"/>
        </w:rPr>
      </w:pPr>
      <w:r w:rsidRPr="005712E2">
        <w:rPr>
          <w:rFonts w:asciiTheme="minorHAnsi" w:hAnsiTheme="minorHAnsi" w:cstheme="minorHAnsi"/>
          <w:sz w:val="20"/>
          <w:szCs w:val="20"/>
        </w:rPr>
        <w:t xml:space="preserve"> The other key parameter is the selection of an appropriate policy framework: Here</w:t>
      </w:r>
      <w:r w:rsidR="000F77F5">
        <w:rPr>
          <w:rFonts w:asciiTheme="minorHAnsi" w:hAnsiTheme="minorHAnsi" w:cstheme="minorHAnsi"/>
          <w:sz w:val="20"/>
          <w:szCs w:val="20"/>
        </w:rPr>
        <w:t>,</w:t>
      </w:r>
      <w:r w:rsidRPr="005712E2">
        <w:rPr>
          <w:rFonts w:asciiTheme="minorHAnsi" w:hAnsiTheme="minorHAnsi" w:cstheme="minorHAnsi"/>
          <w:sz w:val="20"/>
          <w:szCs w:val="20"/>
        </w:rPr>
        <w:t xml:space="preserve"> our modelling reveals that targeted policies offering technology-specific incentives tailored to individual needs, done</w:t>
      </w:r>
      <w:r w:rsidR="000F77F5">
        <w:rPr>
          <w:rFonts w:asciiTheme="minorHAnsi" w:hAnsiTheme="minorHAnsi" w:cstheme="minorHAnsi"/>
          <w:sz w:val="20"/>
          <w:szCs w:val="20"/>
        </w:rPr>
        <w:t>,</w:t>
      </w:r>
      <w:r w:rsidRPr="005712E2">
        <w:rPr>
          <w:rFonts w:asciiTheme="minorHAnsi" w:hAnsiTheme="minorHAnsi" w:cstheme="minorHAnsi"/>
          <w:sz w:val="20"/>
          <w:szCs w:val="20"/>
        </w:rPr>
        <w:t xml:space="preserve"> </w:t>
      </w:r>
      <w:proofErr w:type="gramStart"/>
      <w:r w:rsidRPr="005712E2">
        <w:rPr>
          <w:rFonts w:asciiTheme="minorHAnsi" w:hAnsiTheme="minorHAnsi" w:cstheme="minorHAnsi"/>
          <w:sz w:val="20"/>
          <w:szCs w:val="20"/>
        </w:rPr>
        <w:t>e.g.</w:t>
      </w:r>
      <w:proofErr w:type="gramEnd"/>
      <w:r w:rsidRPr="005712E2">
        <w:rPr>
          <w:rFonts w:asciiTheme="minorHAnsi" w:hAnsiTheme="minorHAnsi" w:cstheme="minorHAnsi"/>
          <w:sz w:val="20"/>
          <w:szCs w:val="20"/>
        </w:rPr>
        <w:t xml:space="preserve"> by use of dedicated RES auctions for feed-in premiums, appear highly beneficial for triggering a cost-effective uptake of RES in the electricity sector. Cost savings in the range of 28% to 42% have been identified when comparing average support under targeted RES policy approaches (</w:t>
      </w:r>
      <w:proofErr w:type="gramStart"/>
      <w:r w:rsidRPr="005712E2">
        <w:rPr>
          <w:rFonts w:asciiTheme="minorHAnsi" w:hAnsiTheme="minorHAnsi" w:cstheme="minorHAnsi"/>
          <w:sz w:val="20"/>
          <w:szCs w:val="20"/>
        </w:rPr>
        <w:t>e.g.</w:t>
      </w:r>
      <w:proofErr w:type="gramEnd"/>
      <w:r w:rsidRPr="005712E2">
        <w:rPr>
          <w:rFonts w:asciiTheme="minorHAnsi" w:hAnsiTheme="minorHAnsi" w:cstheme="minorHAnsi"/>
          <w:sz w:val="20"/>
          <w:szCs w:val="20"/>
        </w:rPr>
        <w:t xml:space="preserve"> RES auctions) with umbrella policy approaches (e.g. technology-neutral RES quotas with </w:t>
      </w:r>
      <w:r w:rsidR="005712E2" w:rsidRPr="005712E2">
        <w:rPr>
          <w:rFonts w:asciiTheme="minorHAnsi" w:hAnsiTheme="minorHAnsi" w:cstheme="minorHAnsi"/>
          <w:sz w:val="20"/>
          <w:szCs w:val="20"/>
        </w:rPr>
        <w:t>certificate</w:t>
      </w:r>
      <w:r w:rsidRPr="005712E2">
        <w:rPr>
          <w:rFonts w:asciiTheme="minorHAnsi" w:hAnsiTheme="minorHAnsi" w:cstheme="minorHAnsi"/>
          <w:sz w:val="20"/>
          <w:szCs w:val="20"/>
        </w:rPr>
        <w:t xml:space="preserve"> trading).</w:t>
      </w:r>
    </w:p>
    <w:p w14:paraId="07F58B48" w14:textId="7BA1BD13" w:rsidR="009C4DB4" w:rsidRPr="005712E2" w:rsidRDefault="009C4DB4" w:rsidP="005712E2">
      <w:pPr>
        <w:pStyle w:val="berschrift2"/>
        <w:rPr>
          <w:rFonts w:asciiTheme="minorHAnsi" w:hAnsiTheme="minorHAnsi" w:cstheme="minorHAnsi"/>
          <w:i w:val="0"/>
          <w:sz w:val="24"/>
          <w:szCs w:val="24"/>
        </w:rPr>
      </w:pPr>
      <w:r w:rsidRPr="005712E2">
        <w:rPr>
          <w:rFonts w:asciiTheme="minorHAnsi" w:hAnsiTheme="minorHAnsi" w:cstheme="minorHAnsi"/>
          <w:i w:val="0"/>
          <w:sz w:val="24"/>
          <w:szCs w:val="24"/>
        </w:rPr>
        <w:t>References</w:t>
      </w:r>
    </w:p>
    <w:p w14:paraId="72A0A9AA" w14:textId="67F85F8B" w:rsidR="005712E2" w:rsidRPr="005712E2" w:rsidRDefault="005712E2" w:rsidP="005712E2">
      <w:pPr>
        <w:autoSpaceDE w:val="0"/>
        <w:autoSpaceDN w:val="0"/>
        <w:adjustRightInd w:val="0"/>
        <w:rPr>
          <w:rFonts w:asciiTheme="minorHAnsi" w:eastAsiaTheme="minorHAnsi" w:hAnsiTheme="minorHAnsi" w:cstheme="minorHAnsi"/>
          <w:color w:val="000000"/>
        </w:rPr>
      </w:pPr>
      <w:r w:rsidRPr="005712E2">
        <w:rPr>
          <w:rFonts w:asciiTheme="minorHAnsi" w:eastAsiaTheme="minorHAnsi" w:hAnsiTheme="minorHAnsi" w:cstheme="minorHAnsi"/>
          <w:color w:val="000000"/>
        </w:rPr>
        <w:t xml:space="preserve">Boie, I., Franke, K. (2020): Synthesis of </w:t>
      </w:r>
      <w:r w:rsidR="000F77F5">
        <w:rPr>
          <w:rFonts w:asciiTheme="minorHAnsi" w:eastAsiaTheme="minorHAnsi" w:hAnsiTheme="minorHAnsi" w:cstheme="minorHAnsi"/>
          <w:color w:val="000000"/>
        </w:rPr>
        <w:t>critical</w:t>
      </w:r>
      <w:r w:rsidRPr="005712E2">
        <w:rPr>
          <w:rFonts w:asciiTheme="minorHAnsi" w:eastAsiaTheme="minorHAnsi" w:hAnsiTheme="minorHAnsi" w:cstheme="minorHAnsi"/>
          <w:color w:val="000000"/>
        </w:rPr>
        <w:t xml:space="preserve"> issues affecting CSP development in Europe; Deliverable 10.1 of the Horizon 2020 EU project MUSTEC, accessible at </w:t>
      </w:r>
      <w:r w:rsidRPr="005712E2">
        <w:rPr>
          <w:rFonts w:asciiTheme="minorHAnsi" w:eastAsiaTheme="minorHAnsi" w:hAnsiTheme="minorHAnsi" w:cstheme="minorHAnsi"/>
          <w:color w:val="0562C1"/>
        </w:rPr>
        <w:t>www.mustec.eu</w:t>
      </w:r>
      <w:r w:rsidRPr="005712E2">
        <w:rPr>
          <w:rFonts w:asciiTheme="minorHAnsi" w:eastAsiaTheme="minorHAnsi" w:hAnsiTheme="minorHAnsi" w:cstheme="minorHAnsi"/>
          <w:color w:val="000000"/>
        </w:rPr>
        <w:t xml:space="preserve">; Fraunhofer ISI, Karlsruhe (2020). </w:t>
      </w:r>
    </w:p>
    <w:p w14:paraId="1BB7B8DE" w14:textId="77777777" w:rsidR="005712E2" w:rsidRPr="005712E2" w:rsidRDefault="005712E2" w:rsidP="005712E2">
      <w:pPr>
        <w:autoSpaceDE w:val="0"/>
        <w:autoSpaceDN w:val="0"/>
        <w:adjustRightInd w:val="0"/>
        <w:rPr>
          <w:rFonts w:asciiTheme="minorHAnsi" w:eastAsiaTheme="minorHAnsi" w:hAnsiTheme="minorHAnsi" w:cstheme="minorHAnsi"/>
          <w:color w:val="000000"/>
        </w:rPr>
      </w:pPr>
    </w:p>
    <w:p w14:paraId="1899E389" w14:textId="723BE34E" w:rsidR="005712E2" w:rsidRPr="005712E2" w:rsidRDefault="005712E2" w:rsidP="005712E2">
      <w:pPr>
        <w:autoSpaceDE w:val="0"/>
        <w:autoSpaceDN w:val="0"/>
        <w:adjustRightInd w:val="0"/>
        <w:rPr>
          <w:rFonts w:asciiTheme="minorHAnsi" w:eastAsiaTheme="minorHAnsi" w:hAnsiTheme="minorHAnsi" w:cstheme="minorHAnsi"/>
          <w:color w:val="000000"/>
        </w:rPr>
      </w:pPr>
      <w:r w:rsidRPr="005712E2">
        <w:rPr>
          <w:rFonts w:asciiTheme="minorHAnsi" w:eastAsiaTheme="minorHAnsi" w:hAnsiTheme="minorHAnsi" w:cstheme="minorHAnsi"/>
          <w:color w:val="000000"/>
        </w:rPr>
        <w:t xml:space="preserve">European Commission (2016): EU energy, transport and GHG emissions trends to 2050: Reference Scenario. Based on PRIMES modelling done by NTUA on behalf of the European Commission. DG Energy, DG Climate Action and DG Mobility and Transport. Brussels, 2016. </w:t>
      </w:r>
    </w:p>
    <w:p w14:paraId="7E8C0C30" w14:textId="77777777" w:rsidR="005712E2" w:rsidRPr="005712E2" w:rsidRDefault="005712E2" w:rsidP="005712E2">
      <w:pPr>
        <w:autoSpaceDE w:val="0"/>
        <w:autoSpaceDN w:val="0"/>
        <w:adjustRightInd w:val="0"/>
        <w:rPr>
          <w:rFonts w:asciiTheme="minorHAnsi" w:eastAsiaTheme="minorHAnsi" w:hAnsiTheme="minorHAnsi" w:cstheme="minorHAnsi"/>
          <w:color w:val="000000"/>
        </w:rPr>
      </w:pPr>
    </w:p>
    <w:p w14:paraId="62BAAD26" w14:textId="5219A7D0" w:rsidR="005712E2" w:rsidRPr="005712E2" w:rsidRDefault="005712E2" w:rsidP="005712E2">
      <w:pPr>
        <w:autoSpaceDE w:val="0"/>
        <w:autoSpaceDN w:val="0"/>
        <w:adjustRightInd w:val="0"/>
        <w:rPr>
          <w:rFonts w:asciiTheme="minorHAnsi" w:eastAsiaTheme="minorHAnsi" w:hAnsiTheme="minorHAnsi" w:cstheme="minorHAnsi"/>
          <w:color w:val="000000"/>
        </w:rPr>
      </w:pPr>
      <w:r w:rsidRPr="005712E2">
        <w:rPr>
          <w:rFonts w:asciiTheme="minorHAnsi" w:eastAsiaTheme="minorHAnsi" w:hAnsiTheme="minorHAnsi" w:cstheme="minorHAnsi"/>
          <w:color w:val="000000"/>
        </w:rPr>
        <w:t xml:space="preserve">European Commission (2019): The European Green Deal; Communication from the European Commission, COM(2019) 640 final; Brussels, 11 December 2019, accessible at </w:t>
      </w:r>
      <w:hyperlink r:id="rId11" w:history="1">
        <w:r w:rsidRPr="005712E2">
          <w:rPr>
            <w:rStyle w:val="Hyperlink"/>
            <w:rFonts w:asciiTheme="minorHAnsi" w:eastAsiaTheme="minorHAnsi" w:hAnsiTheme="minorHAnsi" w:cstheme="minorHAnsi"/>
          </w:rPr>
          <w:t>https://eur-lex.europa.eu/resource.html?uri=cel-lar:b828d165-1c22-11ea-8c1f-01aa75ed71a1.0002.02/DOC_1&amp;format=PDF</w:t>
        </w:r>
      </w:hyperlink>
      <w:r w:rsidRPr="005712E2">
        <w:rPr>
          <w:rFonts w:asciiTheme="minorHAnsi" w:eastAsiaTheme="minorHAnsi" w:hAnsiTheme="minorHAnsi" w:cstheme="minorHAnsi"/>
          <w:color w:val="000000"/>
        </w:rPr>
        <w:t xml:space="preserve">. </w:t>
      </w:r>
    </w:p>
    <w:p w14:paraId="22A73FF4" w14:textId="77777777" w:rsidR="005712E2" w:rsidRPr="005712E2" w:rsidRDefault="005712E2" w:rsidP="005712E2">
      <w:pPr>
        <w:autoSpaceDE w:val="0"/>
        <w:autoSpaceDN w:val="0"/>
        <w:adjustRightInd w:val="0"/>
        <w:rPr>
          <w:rFonts w:asciiTheme="minorHAnsi" w:eastAsiaTheme="minorHAnsi" w:hAnsiTheme="minorHAnsi" w:cstheme="minorHAnsi"/>
          <w:color w:val="000000"/>
        </w:rPr>
      </w:pPr>
    </w:p>
    <w:p w14:paraId="2E91755B" w14:textId="48761BFF" w:rsidR="005712E2" w:rsidRPr="005712E2" w:rsidRDefault="005712E2" w:rsidP="005712E2">
      <w:pPr>
        <w:autoSpaceDE w:val="0"/>
        <w:autoSpaceDN w:val="0"/>
        <w:adjustRightInd w:val="0"/>
        <w:rPr>
          <w:rFonts w:asciiTheme="minorHAnsi" w:eastAsiaTheme="minorHAnsi" w:hAnsiTheme="minorHAnsi" w:cstheme="minorHAnsi"/>
          <w:color w:val="000000"/>
        </w:rPr>
      </w:pPr>
      <w:r w:rsidRPr="005712E2">
        <w:rPr>
          <w:rFonts w:asciiTheme="minorHAnsi" w:eastAsiaTheme="minorHAnsi" w:hAnsiTheme="minorHAnsi" w:cstheme="minorHAnsi"/>
          <w:color w:val="000000"/>
        </w:rPr>
        <w:t xml:space="preserve">European Commission (2020b): An EU-wide assessment of National Energy and Climate Plans - Driving forward the green transition and promoting economic recovery through integrated energy and climate planning; Communication from the European Commission, </w:t>
      </w:r>
      <w:proofErr w:type="gramStart"/>
      <w:r w:rsidRPr="005712E2">
        <w:rPr>
          <w:rFonts w:asciiTheme="minorHAnsi" w:eastAsiaTheme="minorHAnsi" w:hAnsiTheme="minorHAnsi" w:cstheme="minorHAnsi"/>
          <w:color w:val="000000"/>
        </w:rPr>
        <w:t>COM(</w:t>
      </w:r>
      <w:proofErr w:type="gramEnd"/>
      <w:r w:rsidRPr="005712E2">
        <w:rPr>
          <w:rFonts w:asciiTheme="minorHAnsi" w:eastAsiaTheme="minorHAnsi" w:hAnsiTheme="minorHAnsi" w:cstheme="minorHAnsi"/>
          <w:color w:val="000000"/>
        </w:rPr>
        <w:t xml:space="preserve">2020) 564 final; Brussels, 17 September 2020, accessible at </w:t>
      </w:r>
      <w:r w:rsidRPr="005712E2">
        <w:rPr>
          <w:rFonts w:asciiTheme="minorHAnsi" w:eastAsiaTheme="minorHAnsi" w:hAnsiTheme="minorHAnsi" w:cstheme="minorHAnsi"/>
          <w:color w:val="0562C1"/>
        </w:rPr>
        <w:t>https://eur-lex.europa.eu/legal-content/EN/TXT/PDF/?uri=CELEX:52020DC0564&amp; from=EN</w:t>
      </w:r>
      <w:r w:rsidRPr="005712E2">
        <w:rPr>
          <w:rFonts w:asciiTheme="minorHAnsi" w:eastAsiaTheme="minorHAnsi" w:hAnsiTheme="minorHAnsi" w:cstheme="minorHAnsi"/>
          <w:color w:val="000000"/>
        </w:rPr>
        <w:t xml:space="preserve">. </w:t>
      </w:r>
    </w:p>
    <w:p w14:paraId="761CDD60" w14:textId="77777777" w:rsidR="005712E2" w:rsidRPr="005712E2" w:rsidRDefault="005712E2" w:rsidP="005712E2">
      <w:pPr>
        <w:autoSpaceDE w:val="0"/>
        <w:autoSpaceDN w:val="0"/>
        <w:adjustRightInd w:val="0"/>
        <w:rPr>
          <w:rFonts w:asciiTheme="minorHAnsi" w:eastAsiaTheme="minorHAnsi" w:hAnsiTheme="minorHAnsi" w:cstheme="minorHAnsi"/>
          <w:color w:val="000000"/>
        </w:rPr>
      </w:pPr>
    </w:p>
    <w:p w14:paraId="1D4FE2C7" w14:textId="653A95A2" w:rsidR="005712E2" w:rsidRPr="005712E2" w:rsidRDefault="005712E2" w:rsidP="005712E2">
      <w:pPr>
        <w:autoSpaceDE w:val="0"/>
        <w:autoSpaceDN w:val="0"/>
        <w:adjustRightInd w:val="0"/>
        <w:rPr>
          <w:rFonts w:asciiTheme="minorHAnsi" w:eastAsiaTheme="minorHAnsi" w:hAnsiTheme="minorHAnsi" w:cstheme="minorHAnsi"/>
          <w:color w:val="000000"/>
        </w:rPr>
      </w:pPr>
      <w:r w:rsidRPr="005712E2">
        <w:rPr>
          <w:rFonts w:asciiTheme="minorHAnsi" w:eastAsiaTheme="minorHAnsi" w:hAnsiTheme="minorHAnsi" w:cstheme="minorHAnsi"/>
          <w:color w:val="000000"/>
        </w:rPr>
        <w:t xml:space="preserve">European Commission (2020a): Stepping up Europe’s 2030 climate ambition - Investing in a climate-neutral future for the benefit of our people; Communication from the European Commission, COM(2020) 562 final; Brussels, 17 September 2020, accessible at </w:t>
      </w:r>
      <w:hyperlink r:id="rId12" w:history="1">
        <w:r w:rsidRPr="005712E2">
          <w:rPr>
            <w:rStyle w:val="Hyperlink"/>
            <w:rFonts w:asciiTheme="minorHAnsi" w:eastAsiaTheme="minorHAnsi" w:hAnsiTheme="minorHAnsi" w:cstheme="minorHAnsi"/>
          </w:rPr>
          <w:t>https://ec.europa.eu/clima/sites/clima/files/eu-climate-ac-tion/docs/com_2030_ctp_en.pdf</w:t>
        </w:r>
      </w:hyperlink>
      <w:r w:rsidRPr="005712E2">
        <w:rPr>
          <w:rFonts w:asciiTheme="minorHAnsi" w:eastAsiaTheme="minorHAnsi" w:hAnsiTheme="minorHAnsi" w:cstheme="minorHAnsi"/>
          <w:color w:val="000000"/>
        </w:rPr>
        <w:t xml:space="preserve">. </w:t>
      </w:r>
    </w:p>
    <w:p w14:paraId="71CF80DF" w14:textId="77777777" w:rsidR="005712E2" w:rsidRPr="005712E2" w:rsidRDefault="005712E2" w:rsidP="005712E2">
      <w:pPr>
        <w:autoSpaceDE w:val="0"/>
        <w:autoSpaceDN w:val="0"/>
        <w:adjustRightInd w:val="0"/>
        <w:rPr>
          <w:rFonts w:asciiTheme="minorHAnsi" w:eastAsiaTheme="minorHAnsi" w:hAnsiTheme="minorHAnsi" w:cstheme="minorHAnsi"/>
          <w:color w:val="000000"/>
        </w:rPr>
      </w:pPr>
    </w:p>
    <w:p w14:paraId="1CBBA10C" w14:textId="6FF63AB4" w:rsidR="005712E2" w:rsidRPr="005712E2" w:rsidRDefault="005712E2" w:rsidP="005712E2">
      <w:pPr>
        <w:autoSpaceDE w:val="0"/>
        <w:autoSpaceDN w:val="0"/>
        <w:adjustRightInd w:val="0"/>
        <w:rPr>
          <w:rFonts w:asciiTheme="minorHAnsi" w:eastAsiaTheme="minorHAnsi" w:hAnsiTheme="minorHAnsi" w:cstheme="minorHAnsi"/>
          <w:color w:val="0562C1"/>
        </w:rPr>
      </w:pPr>
      <w:r w:rsidRPr="005712E2">
        <w:rPr>
          <w:rFonts w:asciiTheme="minorHAnsi" w:eastAsiaTheme="minorHAnsi" w:hAnsiTheme="minorHAnsi" w:cstheme="minorHAnsi"/>
          <w:color w:val="000000"/>
        </w:rPr>
        <w:t>European Commission (2020c): Impact assessment (Part 2 of 2) accompanying the document Stepping up Europe’s 2030 climate ambition - Investing in a climate-neutral future for the benefit of our people; Commission Staff Work-</w:t>
      </w:r>
      <w:proofErr w:type="spellStart"/>
      <w:r w:rsidRPr="005712E2">
        <w:rPr>
          <w:rFonts w:asciiTheme="minorHAnsi" w:eastAsiaTheme="minorHAnsi" w:hAnsiTheme="minorHAnsi" w:cstheme="minorHAnsi"/>
          <w:color w:val="000000"/>
        </w:rPr>
        <w:lastRenderedPageBreak/>
        <w:t>ing</w:t>
      </w:r>
      <w:proofErr w:type="spellEnd"/>
      <w:r w:rsidRPr="005712E2">
        <w:rPr>
          <w:rFonts w:asciiTheme="minorHAnsi" w:eastAsiaTheme="minorHAnsi" w:hAnsiTheme="minorHAnsi" w:cstheme="minorHAnsi"/>
          <w:color w:val="000000"/>
        </w:rPr>
        <w:t xml:space="preserve"> Document, SWD(2020) 176 final; Brussels, 17 September 2020, accessible at </w:t>
      </w:r>
      <w:hyperlink r:id="rId13" w:history="1">
        <w:r w:rsidRPr="005712E2">
          <w:rPr>
            <w:rStyle w:val="Hyperlink"/>
            <w:rFonts w:asciiTheme="minorHAnsi" w:eastAsiaTheme="minorHAnsi" w:hAnsiTheme="minorHAnsi" w:cstheme="minorHAnsi"/>
          </w:rPr>
          <w:t>https://eur-lex.europa.eu/re-source.html?uri=cellar:749e04bb-f8c5-11ea-991b-01aa75ed71a1.0001.02/DOC_2&amp;format=PDF</w:t>
        </w:r>
      </w:hyperlink>
      <w:r w:rsidRPr="005712E2">
        <w:rPr>
          <w:rFonts w:asciiTheme="minorHAnsi" w:eastAsiaTheme="minorHAnsi" w:hAnsiTheme="minorHAnsi" w:cstheme="minorHAnsi"/>
          <w:color w:val="0562C1"/>
        </w:rPr>
        <w:t xml:space="preserve"> </w:t>
      </w:r>
    </w:p>
    <w:p w14:paraId="7C143487" w14:textId="77777777" w:rsidR="005712E2" w:rsidRPr="005712E2" w:rsidRDefault="005712E2" w:rsidP="005712E2">
      <w:pPr>
        <w:autoSpaceDE w:val="0"/>
        <w:autoSpaceDN w:val="0"/>
        <w:adjustRightInd w:val="0"/>
        <w:rPr>
          <w:rFonts w:asciiTheme="minorHAnsi" w:eastAsiaTheme="minorHAnsi" w:hAnsiTheme="minorHAnsi" w:cstheme="minorHAnsi"/>
          <w:color w:val="0562C1"/>
        </w:rPr>
      </w:pPr>
    </w:p>
    <w:p w14:paraId="40C935E8" w14:textId="77777777" w:rsidR="005712E2" w:rsidRPr="005712E2" w:rsidRDefault="005712E2" w:rsidP="005712E2">
      <w:pPr>
        <w:autoSpaceDE w:val="0"/>
        <w:autoSpaceDN w:val="0"/>
        <w:adjustRightInd w:val="0"/>
        <w:rPr>
          <w:rFonts w:asciiTheme="minorHAnsi" w:eastAsiaTheme="minorHAnsi" w:hAnsiTheme="minorHAnsi" w:cstheme="minorHAnsi"/>
          <w:color w:val="000000"/>
        </w:rPr>
      </w:pPr>
      <w:r w:rsidRPr="005712E2">
        <w:rPr>
          <w:rFonts w:asciiTheme="minorHAnsi" w:eastAsiaTheme="minorHAnsi" w:hAnsiTheme="minorHAnsi" w:cstheme="minorHAnsi"/>
          <w:color w:val="000000"/>
        </w:rPr>
        <w:t xml:space="preserve">European Commission (2020d). Renewable Energy Progress Report, Communication from the European commission, </w:t>
      </w:r>
      <w:proofErr w:type="gramStart"/>
      <w:r w:rsidRPr="005712E2">
        <w:rPr>
          <w:rFonts w:asciiTheme="minorHAnsi" w:eastAsiaTheme="minorHAnsi" w:hAnsiTheme="minorHAnsi" w:cstheme="minorHAnsi"/>
          <w:color w:val="000000"/>
        </w:rPr>
        <w:t>COM(</w:t>
      </w:r>
      <w:proofErr w:type="gramEnd"/>
      <w:r w:rsidRPr="005712E2">
        <w:rPr>
          <w:rFonts w:asciiTheme="minorHAnsi" w:eastAsiaTheme="minorHAnsi" w:hAnsiTheme="minorHAnsi" w:cstheme="minorHAnsi"/>
          <w:color w:val="000000"/>
        </w:rPr>
        <w:t xml:space="preserve">2020) 952 final; Brussels, 14 October 2020, retrieved from </w:t>
      </w:r>
    </w:p>
    <w:p w14:paraId="651DF80A" w14:textId="761E4A92" w:rsidR="005712E2" w:rsidRPr="005712E2" w:rsidRDefault="00000000" w:rsidP="005712E2">
      <w:pPr>
        <w:autoSpaceDE w:val="0"/>
        <w:autoSpaceDN w:val="0"/>
        <w:adjustRightInd w:val="0"/>
        <w:rPr>
          <w:rFonts w:asciiTheme="minorHAnsi" w:eastAsiaTheme="minorHAnsi" w:hAnsiTheme="minorHAnsi" w:cstheme="minorHAnsi"/>
          <w:color w:val="0562C1"/>
        </w:rPr>
      </w:pPr>
      <w:hyperlink r:id="rId14" w:history="1">
        <w:r w:rsidR="005712E2" w:rsidRPr="005712E2">
          <w:rPr>
            <w:rStyle w:val="Hyperlink"/>
            <w:rFonts w:asciiTheme="minorHAnsi" w:eastAsiaTheme="minorHAnsi" w:hAnsiTheme="minorHAnsi" w:cstheme="minorHAnsi"/>
          </w:rPr>
          <w:t>https://ec.europa.eu/energy/topics/energy-strat-egy/energy-union/fifth-report-state-energy-union_en</w:t>
        </w:r>
      </w:hyperlink>
      <w:r w:rsidR="005712E2" w:rsidRPr="005712E2">
        <w:rPr>
          <w:rFonts w:asciiTheme="minorHAnsi" w:eastAsiaTheme="minorHAnsi" w:hAnsiTheme="minorHAnsi" w:cstheme="minorHAnsi"/>
          <w:color w:val="0562C1"/>
        </w:rPr>
        <w:t xml:space="preserve"> </w:t>
      </w:r>
    </w:p>
    <w:p w14:paraId="00C84721" w14:textId="77777777" w:rsidR="005712E2" w:rsidRPr="005712E2" w:rsidRDefault="005712E2" w:rsidP="005712E2">
      <w:pPr>
        <w:autoSpaceDE w:val="0"/>
        <w:autoSpaceDN w:val="0"/>
        <w:adjustRightInd w:val="0"/>
        <w:rPr>
          <w:rFonts w:asciiTheme="minorHAnsi" w:eastAsiaTheme="minorHAnsi" w:hAnsiTheme="minorHAnsi" w:cstheme="minorHAnsi"/>
          <w:color w:val="0562C1"/>
        </w:rPr>
      </w:pPr>
    </w:p>
    <w:p w14:paraId="49C177B1" w14:textId="370EB7DA" w:rsidR="005712E2" w:rsidRPr="005712E2" w:rsidRDefault="005712E2" w:rsidP="005712E2">
      <w:pPr>
        <w:autoSpaceDE w:val="0"/>
        <w:autoSpaceDN w:val="0"/>
        <w:adjustRightInd w:val="0"/>
        <w:rPr>
          <w:rFonts w:asciiTheme="minorHAnsi" w:eastAsiaTheme="minorHAnsi" w:hAnsiTheme="minorHAnsi" w:cstheme="minorHAnsi"/>
          <w:color w:val="000000"/>
        </w:rPr>
      </w:pPr>
      <w:r w:rsidRPr="005712E2">
        <w:rPr>
          <w:rFonts w:asciiTheme="minorHAnsi" w:eastAsiaTheme="minorHAnsi" w:hAnsiTheme="minorHAnsi" w:cstheme="minorHAnsi"/>
          <w:color w:val="000000"/>
        </w:rPr>
        <w:t xml:space="preserve">European Union (2018a): Directive 2018/2001 of the European Parliament and of the Council on the promotion of the use of energy from renewable sources (recast); Brussels, 11 December 2018; accessible at </w:t>
      </w:r>
      <w:hyperlink r:id="rId15" w:history="1">
        <w:r w:rsidRPr="005712E2">
          <w:rPr>
            <w:rStyle w:val="Hyperlink"/>
            <w:rFonts w:asciiTheme="minorHAnsi" w:eastAsiaTheme="minorHAnsi" w:hAnsiTheme="minorHAnsi" w:cstheme="minorHAnsi"/>
          </w:rPr>
          <w:t>https://eur-lex.eu-ropa.eu/legal-content/EN/TXT/PDF/?uri=CELEX:32018L2001&amp;from=fr</w:t>
        </w:r>
      </w:hyperlink>
      <w:r w:rsidRPr="005712E2">
        <w:rPr>
          <w:rFonts w:asciiTheme="minorHAnsi" w:eastAsiaTheme="minorHAnsi" w:hAnsiTheme="minorHAnsi" w:cstheme="minorHAnsi"/>
          <w:color w:val="000000"/>
        </w:rPr>
        <w:t xml:space="preserve">. </w:t>
      </w:r>
    </w:p>
    <w:p w14:paraId="5272EE9B" w14:textId="77777777" w:rsidR="005712E2" w:rsidRPr="005712E2" w:rsidRDefault="005712E2" w:rsidP="005712E2">
      <w:pPr>
        <w:autoSpaceDE w:val="0"/>
        <w:autoSpaceDN w:val="0"/>
        <w:adjustRightInd w:val="0"/>
        <w:rPr>
          <w:rFonts w:asciiTheme="minorHAnsi" w:eastAsiaTheme="minorHAnsi" w:hAnsiTheme="minorHAnsi" w:cstheme="minorHAnsi"/>
          <w:color w:val="000000"/>
        </w:rPr>
      </w:pPr>
    </w:p>
    <w:p w14:paraId="1E1995E6" w14:textId="77777777" w:rsidR="005712E2" w:rsidRPr="005712E2" w:rsidRDefault="005712E2" w:rsidP="005712E2">
      <w:pPr>
        <w:autoSpaceDE w:val="0"/>
        <w:autoSpaceDN w:val="0"/>
        <w:adjustRightInd w:val="0"/>
        <w:rPr>
          <w:rFonts w:asciiTheme="minorHAnsi" w:eastAsiaTheme="minorHAnsi" w:hAnsiTheme="minorHAnsi" w:cstheme="minorHAnsi"/>
          <w:color w:val="000000"/>
        </w:rPr>
      </w:pPr>
      <w:r w:rsidRPr="005712E2">
        <w:rPr>
          <w:rFonts w:asciiTheme="minorHAnsi" w:eastAsiaTheme="minorHAnsi" w:hAnsiTheme="minorHAnsi" w:cstheme="minorHAnsi"/>
          <w:color w:val="000000"/>
        </w:rPr>
        <w:t xml:space="preserve">European Union (2009): Directive 2009/28/EC of the European Parliament and of the Council on the promotion of the use of energy from renewable sources; Brussels, 23 April 2009; accessible at </w:t>
      </w:r>
      <w:r w:rsidRPr="005712E2">
        <w:rPr>
          <w:rFonts w:asciiTheme="minorHAnsi" w:eastAsiaTheme="minorHAnsi" w:hAnsiTheme="minorHAnsi" w:cstheme="minorHAnsi"/>
          <w:color w:val="0562C1"/>
        </w:rPr>
        <w:t>https://eur-lex.europa.eu/LexUriS-erv/LexUriServ.do?uri=OJ:L:2009:140:0016:0062:en:PDF</w:t>
      </w:r>
      <w:r w:rsidRPr="005712E2">
        <w:rPr>
          <w:rFonts w:asciiTheme="minorHAnsi" w:eastAsiaTheme="minorHAnsi" w:hAnsiTheme="minorHAnsi" w:cstheme="minorHAnsi"/>
          <w:color w:val="000000"/>
        </w:rPr>
        <w:t xml:space="preserve">. </w:t>
      </w:r>
    </w:p>
    <w:p w14:paraId="4758FDD2" w14:textId="77777777" w:rsidR="005712E2" w:rsidRPr="005712E2" w:rsidRDefault="005712E2" w:rsidP="005712E2">
      <w:pPr>
        <w:rPr>
          <w:rFonts w:asciiTheme="minorHAnsi" w:eastAsiaTheme="minorHAnsi" w:hAnsiTheme="minorHAnsi" w:cstheme="minorHAnsi"/>
          <w:color w:val="000000"/>
        </w:rPr>
      </w:pPr>
    </w:p>
    <w:p w14:paraId="4F1C264D" w14:textId="72126927" w:rsidR="00C04574" w:rsidRPr="005712E2" w:rsidRDefault="005712E2" w:rsidP="005712E2">
      <w:pPr>
        <w:rPr>
          <w:rFonts w:asciiTheme="minorHAnsi" w:hAnsiTheme="minorHAnsi" w:cstheme="minorHAnsi"/>
        </w:rPr>
      </w:pPr>
      <w:r w:rsidRPr="005712E2">
        <w:rPr>
          <w:rFonts w:asciiTheme="minorHAnsi" w:eastAsiaTheme="minorHAnsi" w:hAnsiTheme="minorHAnsi" w:cstheme="minorHAnsi"/>
          <w:color w:val="000000"/>
        </w:rPr>
        <w:t xml:space="preserve">European Union (2018b): Regulation 2018/1999 of the European Parliament and of the Council on the Governance of the Energy Union and Climate Action; Brussels, 11 December 2018; accessible at </w:t>
      </w:r>
      <w:r w:rsidRPr="005712E2">
        <w:rPr>
          <w:rFonts w:asciiTheme="minorHAnsi" w:eastAsiaTheme="minorHAnsi" w:hAnsiTheme="minorHAnsi" w:cstheme="minorHAnsi"/>
          <w:color w:val="0562C1"/>
        </w:rPr>
        <w:t>https://eur-lex.europa.eu/legal-con-tent/EN/TXT/PDF/?uri=CELEX:32018R1999&amp;from=EN</w:t>
      </w:r>
      <w:r w:rsidRPr="005712E2">
        <w:rPr>
          <w:rFonts w:asciiTheme="minorHAnsi" w:eastAsiaTheme="minorHAnsi" w:hAnsiTheme="minorHAnsi" w:cstheme="minorHAnsi"/>
          <w:color w:val="000000"/>
        </w:rPr>
        <w:t>.</w:t>
      </w:r>
    </w:p>
    <w:sectPr w:rsidR="00C04574" w:rsidRPr="005712E2" w:rsidSect="009C4DB4">
      <w:headerReference w:type="first" r:id="rId16"/>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9971" w14:textId="77777777" w:rsidR="003A678D" w:rsidRDefault="003A678D" w:rsidP="009C4DB4">
      <w:r>
        <w:separator/>
      </w:r>
    </w:p>
  </w:endnote>
  <w:endnote w:type="continuationSeparator" w:id="0">
    <w:p w14:paraId="706AD5FF" w14:textId="77777777" w:rsidR="003A678D" w:rsidRDefault="003A678D" w:rsidP="009C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313C" w14:textId="77777777" w:rsidR="003A678D" w:rsidRDefault="003A678D" w:rsidP="009C4DB4">
      <w:r>
        <w:separator/>
      </w:r>
    </w:p>
  </w:footnote>
  <w:footnote w:type="continuationSeparator" w:id="0">
    <w:p w14:paraId="29A70AED" w14:textId="77777777" w:rsidR="003A678D" w:rsidRDefault="003A678D" w:rsidP="009C4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7AC7" w14:textId="77777777" w:rsidR="005A5112" w:rsidRDefault="00446FBE"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450E8"/>
    <w:multiLevelType w:val="hybridMultilevel"/>
    <w:tmpl w:val="436E2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0FE6DA1"/>
    <w:multiLevelType w:val="hybridMultilevel"/>
    <w:tmpl w:val="10E0E6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7A20AEB"/>
    <w:multiLevelType w:val="hybridMultilevel"/>
    <w:tmpl w:val="2EB689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6F5762C"/>
    <w:multiLevelType w:val="hybridMultilevel"/>
    <w:tmpl w:val="F8E639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1686356">
    <w:abstractNumId w:val="1"/>
  </w:num>
  <w:num w:numId="2" w16cid:durableId="1548253473">
    <w:abstractNumId w:val="3"/>
  </w:num>
  <w:num w:numId="3" w16cid:durableId="1246260450">
    <w:abstractNumId w:val="2"/>
  </w:num>
  <w:num w:numId="4" w16cid:durableId="60353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1Nbc0NTY3sTAzsrBU0lEKTi0uzszPAykwrgUAA1cbnywAAAA="/>
  </w:docVars>
  <w:rsids>
    <w:rsidRoot w:val="00AE0918"/>
    <w:rsid w:val="000129E9"/>
    <w:rsid w:val="000904D7"/>
    <w:rsid w:val="000F77F5"/>
    <w:rsid w:val="00152492"/>
    <w:rsid w:val="00183D5A"/>
    <w:rsid w:val="00252356"/>
    <w:rsid w:val="003A678D"/>
    <w:rsid w:val="00446FBE"/>
    <w:rsid w:val="004C1B44"/>
    <w:rsid w:val="004D6A10"/>
    <w:rsid w:val="00512E4D"/>
    <w:rsid w:val="005712E2"/>
    <w:rsid w:val="00613A7E"/>
    <w:rsid w:val="00812C63"/>
    <w:rsid w:val="00942F21"/>
    <w:rsid w:val="009C4DB4"/>
    <w:rsid w:val="009C6195"/>
    <w:rsid w:val="00AA318B"/>
    <w:rsid w:val="00AE0918"/>
    <w:rsid w:val="00AE58C8"/>
    <w:rsid w:val="00C516F1"/>
    <w:rsid w:val="00C8395D"/>
    <w:rsid w:val="00CF0ABE"/>
    <w:rsid w:val="00E55914"/>
    <w:rsid w:val="00E866B2"/>
    <w:rsid w:val="00F5284C"/>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FB11"/>
  <w15:chartTrackingRefBased/>
  <w15:docId w15:val="{E765DFF8-B290-47BD-BEF1-5B43DF79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DB4"/>
    <w:pPr>
      <w:spacing w:after="0" w:line="240" w:lineRule="auto"/>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qFormat/>
    <w:rsid w:val="009C4DB4"/>
    <w:pPr>
      <w:keepNext/>
      <w:spacing w:before="240" w:after="60"/>
      <w:outlineLvl w:val="1"/>
    </w:pPr>
    <w:rPr>
      <w:rFonts w:ascii="Arial" w:hAnsi="Arial"/>
      <w:b/>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C4DB4"/>
    <w:rPr>
      <w:rFonts w:ascii="Arial" w:eastAsia="Times New Roman" w:hAnsi="Arial" w:cs="Times New Roman"/>
      <w:b/>
      <w:i/>
      <w:szCs w:val="20"/>
      <w:lang w:val="en-GB"/>
    </w:rPr>
  </w:style>
  <w:style w:type="paragraph" w:styleId="Kopfzeile">
    <w:name w:val="header"/>
    <w:basedOn w:val="Standard"/>
    <w:link w:val="KopfzeileZchn"/>
    <w:rsid w:val="009C4DB4"/>
    <w:pPr>
      <w:tabs>
        <w:tab w:val="center" w:pos="5400"/>
        <w:tab w:val="right" w:pos="10800"/>
      </w:tabs>
    </w:pPr>
    <w:rPr>
      <w:rFonts w:ascii="Arial" w:hAnsi="Arial"/>
      <w:sz w:val="16"/>
    </w:rPr>
  </w:style>
  <w:style w:type="character" w:customStyle="1" w:styleId="KopfzeileZchn">
    <w:name w:val="Kopfzeile Zchn"/>
    <w:basedOn w:val="Absatz-Standardschriftart"/>
    <w:link w:val="Kopfzeile"/>
    <w:rsid w:val="009C4DB4"/>
    <w:rPr>
      <w:rFonts w:ascii="Arial" w:eastAsia="Times New Roman" w:hAnsi="Arial" w:cs="Times New Roman"/>
      <w:sz w:val="16"/>
      <w:szCs w:val="20"/>
      <w:lang w:val="en-GB"/>
    </w:rPr>
  </w:style>
  <w:style w:type="paragraph" w:styleId="Textkrper">
    <w:name w:val="Body Text"/>
    <w:basedOn w:val="Standard"/>
    <w:link w:val="TextkrperZchn"/>
    <w:rsid w:val="009C4DB4"/>
    <w:rPr>
      <w:sz w:val="22"/>
    </w:rPr>
  </w:style>
  <w:style w:type="character" w:customStyle="1" w:styleId="TextkrperZchn">
    <w:name w:val="Textkörper Zchn"/>
    <w:basedOn w:val="Absatz-Standardschriftart"/>
    <w:link w:val="Textkrper"/>
    <w:rsid w:val="009C4DB4"/>
    <w:rPr>
      <w:rFonts w:ascii="Times New Roman" w:eastAsia="Times New Roman" w:hAnsi="Times New Roman" w:cs="Times New Roman"/>
      <w:szCs w:val="20"/>
      <w:lang w:val="en-GB"/>
    </w:rPr>
  </w:style>
  <w:style w:type="paragraph" w:styleId="Textkrper2">
    <w:name w:val="Body Text 2"/>
    <w:basedOn w:val="Standard"/>
    <w:link w:val="Textkrper2Zchn"/>
    <w:rsid w:val="009C4DB4"/>
    <w:pPr>
      <w:jc w:val="both"/>
    </w:pPr>
  </w:style>
  <w:style w:type="character" w:customStyle="1" w:styleId="Textkrper2Zchn">
    <w:name w:val="Textkörper 2 Zchn"/>
    <w:basedOn w:val="Absatz-Standardschriftart"/>
    <w:link w:val="Textkrper2"/>
    <w:rsid w:val="009C4DB4"/>
    <w:rPr>
      <w:rFonts w:ascii="Times New Roman" w:eastAsia="Times New Roman" w:hAnsi="Times New Roman" w:cs="Times New Roman"/>
      <w:sz w:val="20"/>
      <w:szCs w:val="20"/>
      <w:lang w:val="en-GB"/>
    </w:rPr>
  </w:style>
  <w:style w:type="paragraph" w:customStyle="1" w:styleId="Default">
    <w:name w:val="Default"/>
    <w:rsid w:val="009C4DB4"/>
    <w:pPr>
      <w:autoSpaceDE w:val="0"/>
      <w:autoSpaceDN w:val="0"/>
      <w:adjustRightInd w:val="0"/>
      <w:spacing w:after="0" w:line="240" w:lineRule="auto"/>
    </w:pPr>
    <w:rPr>
      <w:rFonts w:ascii="Times New Roman" w:eastAsia="Times New Roman" w:hAnsi="Times New Roman" w:cs="Times New Roman"/>
      <w:color w:val="000000"/>
      <w:sz w:val="24"/>
      <w:szCs w:val="24"/>
      <w:lang w:eastAsia="de-AT"/>
    </w:rPr>
  </w:style>
  <w:style w:type="paragraph" w:styleId="Listenabsatz">
    <w:name w:val="List Paragraph"/>
    <w:basedOn w:val="Standard"/>
    <w:uiPriority w:val="34"/>
    <w:qFormat/>
    <w:rsid w:val="009C4DB4"/>
    <w:pPr>
      <w:spacing w:after="120" w:line="264" w:lineRule="auto"/>
      <w:ind w:left="720"/>
      <w:contextualSpacing/>
      <w:jc w:val="both"/>
    </w:pPr>
    <w:rPr>
      <w:rFonts w:eastAsia="Calibri"/>
      <w:sz w:val="22"/>
      <w:szCs w:val="22"/>
    </w:rPr>
  </w:style>
  <w:style w:type="paragraph" w:styleId="Funotentext">
    <w:name w:val="footnote text"/>
    <w:basedOn w:val="Standard"/>
    <w:link w:val="FunotentextZchn"/>
    <w:rsid w:val="009C4DB4"/>
  </w:style>
  <w:style w:type="character" w:customStyle="1" w:styleId="FunotentextZchn">
    <w:name w:val="Fußnotentext Zchn"/>
    <w:basedOn w:val="Absatz-Standardschriftart"/>
    <w:link w:val="Funotentext"/>
    <w:rsid w:val="009C4DB4"/>
    <w:rPr>
      <w:rFonts w:ascii="Times New Roman" w:eastAsia="Times New Roman" w:hAnsi="Times New Roman" w:cs="Times New Roman"/>
      <w:sz w:val="20"/>
      <w:szCs w:val="20"/>
      <w:lang w:val="en-GB"/>
    </w:rPr>
  </w:style>
  <w:style w:type="character" w:styleId="Funotenzeichen">
    <w:name w:val="footnote reference"/>
    <w:basedOn w:val="Absatz-Standardschriftart"/>
    <w:rsid w:val="009C4DB4"/>
    <w:rPr>
      <w:vertAlign w:val="superscript"/>
    </w:rPr>
  </w:style>
  <w:style w:type="character" w:styleId="Hyperlink">
    <w:name w:val="Hyperlink"/>
    <w:basedOn w:val="Absatz-Standardschriftart"/>
    <w:uiPriority w:val="99"/>
    <w:unhideWhenUsed/>
    <w:rsid w:val="009C4DB4"/>
    <w:rPr>
      <w:color w:val="0563C1" w:themeColor="hyperlink"/>
      <w:u w:val="single"/>
    </w:rPr>
  </w:style>
  <w:style w:type="character" w:styleId="NichtaufgelsteErwhnung">
    <w:name w:val="Unresolved Mention"/>
    <w:basedOn w:val="Absatz-Standardschriftart"/>
    <w:uiPriority w:val="99"/>
    <w:semiHidden/>
    <w:unhideWhenUsed/>
    <w:rsid w:val="00E86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ipel@eeg.tuwien.ac.at" TargetMode="External"/><Relationship Id="rId13" Type="http://schemas.openxmlformats.org/officeDocument/2006/relationships/hyperlink" Target="https://eur-lex.europa.eu/re-source.html?uri=cellar:749e04bb-f8c5-11ea-991b-01aa75ed71a1.0001.02/DOC_2&amp;forma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clima/sites/clima/files/eu-climate-ac-tion/docs/com_2030_ctp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resource.html?uri=cel-lar:b828d165-1c22-11ea-8c1f-01aa75ed71a1.0002.02/DOC_1&amp;format=PDF" TargetMode="External"/><Relationship Id="rId5" Type="http://schemas.openxmlformats.org/officeDocument/2006/relationships/webSettings" Target="webSettings.xml"/><Relationship Id="rId15" Type="http://schemas.openxmlformats.org/officeDocument/2006/relationships/hyperlink" Target="https://eur-lex.eu-ropa.eu/legal-content/EN/TXT/PDF/?uri=CELEX:32018L2001&amp;from=fr" TargetMode="External"/><Relationship Id="rId10" Type="http://schemas.openxmlformats.org/officeDocument/2006/relationships/hyperlink" Target="mailto:liebmann@eeg.tuwien.ac.at" TargetMode="External"/><Relationship Id="rId4" Type="http://schemas.openxmlformats.org/officeDocument/2006/relationships/settings" Target="settings.xml"/><Relationship Id="rId9" Type="http://schemas.openxmlformats.org/officeDocument/2006/relationships/hyperlink" Target="mailto:resch@eeg.tuwien.ac.at" TargetMode="External"/><Relationship Id="rId14" Type="http://schemas.openxmlformats.org/officeDocument/2006/relationships/hyperlink" Target="https://ec.europa.eu/energy/topics/energy-strat-egy/energy-union/fifth-report-state-energy-union_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29D83-446D-4F01-AA3B-7BA2E168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1532</Words>
  <Characters>9656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Geipel</dc:creator>
  <cp:keywords/>
  <dc:description/>
  <cp:lastModifiedBy>Jasper Geipel</cp:lastModifiedBy>
  <cp:revision>11</cp:revision>
  <cp:lastPrinted>2018-12-17T23:08:00Z</cp:lastPrinted>
  <dcterms:created xsi:type="dcterms:W3CDTF">2018-12-17T22:05:00Z</dcterms:created>
  <dcterms:modified xsi:type="dcterms:W3CDTF">2022-11-22T23:23:00Z</dcterms:modified>
</cp:coreProperties>
</file>