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1A21" w14:textId="256BC9A4" w:rsidR="005E4D4F" w:rsidRPr="00847E98" w:rsidRDefault="00847E98" w:rsidP="005E4D4F">
      <w:pPr>
        <w:pStyle w:val="Abstract-Titel"/>
        <w:rPr>
          <w:lang w:val="en-US"/>
        </w:rPr>
      </w:pPr>
      <w:r w:rsidRPr="00847E98">
        <w:rPr>
          <w:lang w:val="en-US"/>
        </w:rPr>
        <w:t>Learning curves and diffusion d</w:t>
      </w:r>
      <w:r>
        <w:rPr>
          <w:lang w:val="en-US"/>
        </w:rPr>
        <w:t>ynamics of energy-efficient pub</w:t>
      </w:r>
      <w:r w:rsidRPr="00847E98">
        <w:rPr>
          <w:lang w:val="en-US"/>
        </w:rPr>
        <w:t>lic lighting in Germany</w:t>
      </w:r>
    </w:p>
    <w:p w14:paraId="47B52241" w14:textId="3191E8A3" w:rsidR="00BF05FA" w:rsidRDefault="00BF05FA" w:rsidP="00A156E4">
      <w:pPr>
        <w:pStyle w:val="AutorenOrganisation"/>
      </w:pPr>
      <w:r>
        <w:t>Themenbereich</w:t>
      </w:r>
      <w:r w:rsidR="00847E98">
        <w:t xml:space="preserve"> 2: Energieerzeugung/-infrastruktur und Netze</w:t>
      </w:r>
    </w:p>
    <w:p w14:paraId="0AEFEF48" w14:textId="65F8604F" w:rsidR="005E4D4F" w:rsidRPr="00847E98" w:rsidRDefault="00847E98" w:rsidP="00A156E4">
      <w:pPr>
        <w:pStyle w:val="AutorenOrganisation"/>
        <w:rPr>
          <w:lang w:val="en-US"/>
        </w:rPr>
      </w:pPr>
      <w:r w:rsidRPr="00847E98">
        <w:rPr>
          <w:lang w:val="en-US"/>
        </w:rPr>
        <w:t>Pascal HERRMANN</w:t>
      </w:r>
      <w:r w:rsidR="00A156E4" w:rsidRPr="00847E98">
        <w:rPr>
          <w:vertAlign w:val="superscript"/>
          <w:lang w:val="en-US"/>
        </w:rPr>
        <w:t>1)</w:t>
      </w:r>
      <w:r w:rsidR="005E4D4F" w:rsidRPr="00847E98">
        <w:rPr>
          <w:lang w:val="en-US"/>
        </w:rPr>
        <w:t xml:space="preserve">, </w:t>
      </w:r>
      <w:r w:rsidRPr="00847E98">
        <w:rPr>
          <w:lang w:val="en-US"/>
        </w:rPr>
        <w:t xml:space="preserve">Reinhard </w:t>
      </w:r>
      <w:proofErr w:type="gramStart"/>
      <w:r w:rsidRPr="00847E98">
        <w:rPr>
          <w:lang w:val="en-US"/>
        </w:rPr>
        <w:t>MADLENER</w:t>
      </w:r>
      <w:proofErr w:type="gramEnd"/>
      <w:r w:rsidRPr="00010E92">
        <w:rPr>
          <w:vertAlign w:val="superscript"/>
        </w:rPr>
        <w:footnoteReference w:id="1"/>
      </w:r>
      <w:r w:rsidRPr="00847E98">
        <w:rPr>
          <w:vertAlign w:val="superscript"/>
          <w:lang w:val="en-US"/>
        </w:rPr>
        <w:t>(</w:t>
      </w:r>
      <w:r w:rsidRPr="00847E98">
        <w:rPr>
          <w:vertAlign w:val="superscript"/>
          <w:lang w:val="en-US"/>
        </w:rPr>
        <w:t xml:space="preserve"> </w:t>
      </w:r>
      <w:r w:rsidR="00A156E4" w:rsidRPr="00847E98">
        <w:rPr>
          <w:vertAlign w:val="superscript"/>
          <w:lang w:val="en-US"/>
        </w:rPr>
        <w:t>(</w:t>
      </w:r>
      <w:r w:rsidR="00010E92" w:rsidRPr="00847E98">
        <w:rPr>
          <w:vertAlign w:val="superscript"/>
          <w:lang w:val="en-US"/>
        </w:rPr>
        <w:t>2</w:t>
      </w:r>
      <w:r w:rsidR="00A156E4" w:rsidRPr="00847E98">
        <w:rPr>
          <w:vertAlign w:val="superscript"/>
          <w:lang w:val="en-US"/>
        </w:rPr>
        <w:t>)</w:t>
      </w:r>
    </w:p>
    <w:p w14:paraId="31BB6490" w14:textId="43AF53A9" w:rsidR="005E4D4F" w:rsidRPr="00847E98" w:rsidRDefault="00A156E4" w:rsidP="005E4D4F">
      <w:pPr>
        <w:pStyle w:val="AutorenOrganisation"/>
        <w:rPr>
          <w:lang w:val="en-US"/>
        </w:rPr>
      </w:pPr>
      <w:r w:rsidRPr="00847E98">
        <w:rPr>
          <w:vertAlign w:val="superscript"/>
          <w:lang w:val="en-US"/>
        </w:rPr>
        <w:t>(</w:t>
      </w:r>
      <w:r w:rsidR="00010E92" w:rsidRPr="00847E98">
        <w:rPr>
          <w:vertAlign w:val="superscript"/>
          <w:lang w:val="en-US"/>
        </w:rPr>
        <w:t>1</w:t>
      </w:r>
      <w:r w:rsidRPr="00847E98">
        <w:rPr>
          <w:vertAlign w:val="superscript"/>
          <w:lang w:val="en-US"/>
        </w:rPr>
        <w:t>)</w:t>
      </w:r>
      <w:r w:rsidR="00847E98" w:rsidRPr="00847E98">
        <w:rPr>
          <w:lang w:val="en-US"/>
        </w:rPr>
        <w:t>RWTH Aachen University</w:t>
      </w:r>
      <w:r w:rsidR="00010E92" w:rsidRPr="00847E98">
        <w:rPr>
          <w:lang w:val="en-US"/>
        </w:rPr>
        <w:t xml:space="preserve">, </w:t>
      </w:r>
      <w:r w:rsidRPr="00847E98">
        <w:rPr>
          <w:vertAlign w:val="superscript"/>
          <w:lang w:val="en-US"/>
        </w:rPr>
        <w:t>(</w:t>
      </w:r>
      <w:r w:rsidR="00010E92" w:rsidRPr="00847E98">
        <w:rPr>
          <w:vertAlign w:val="superscript"/>
          <w:lang w:val="en-US"/>
        </w:rPr>
        <w:t>2</w:t>
      </w:r>
      <w:proofErr w:type="gramStart"/>
      <w:r w:rsidRPr="00847E98">
        <w:rPr>
          <w:vertAlign w:val="superscript"/>
          <w:lang w:val="en-US"/>
        </w:rPr>
        <w:t>)</w:t>
      </w:r>
      <w:r w:rsidR="00847E98" w:rsidRPr="00847E98">
        <w:rPr>
          <w:lang w:val="en-US"/>
        </w:rPr>
        <w:t>Institute</w:t>
      </w:r>
      <w:proofErr w:type="gramEnd"/>
      <w:r w:rsidR="00847E98" w:rsidRPr="00847E98">
        <w:rPr>
          <w:lang w:val="en-US"/>
        </w:rPr>
        <w:t xml:space="preserve"> for Future Energy Consumer Needs and Beha</w:t>
      </w:r>
      <w:r w:rsidR="00847E98">
        <w:rPr>
          <w:lang w:val="en-US"/>
        </w:rPr>
        <w:t>v</w:t>
      </w:r>
      <w:r w:rsidR="00847E98" w:rsidRPr="00847E98">
        <w:rPr>
          <w:lang w:val="en-US"/>
        </w:rPr>
        <w:t>ior (FCN), School of Business and Economics / E.ON Energy Research Center, RWTH Aachen University</w:t>
      </w:r>
    </w:p>
    <w:p w14:paraId="7D0DC61F" w14:textId="77777777" w:rsidR="00A07737" w:rsidRPr="00847E98" w:rsidRDefault="00A07737" w:rsidP="00FB69AE">
      <w:pPr>
        <w:rPr>
          <w:lang w:val="en-US"/>
        </w:rPr>
      </w:pPr>
    </w:p>
    <w:p w14:paraId="14767CFD" w14:textId="4EBB087B" w:rsidR="005E4D4F" w:rsidRPr="005E4D4F" w:rsidRDefault="005E4D4F" w:rsidP="005E4D4F">
      <w:pPr>
        <w:pStyle w:val="Ueberschrift"/>
      </w:pPr>
      <w:r w:rsidRPr="005E4D4F">
        <w:t xml:space="preserve">Motivation </w:t>
      </w:r>
      <w:proofErr w:type="spellStart"/>
      <w:r w:rsidR="0035309E">
        <w:t>and</w:t>
      </w:r>
      <w:proofErr w:type="spellEnd"/>
      <w:r w:rsidR="0035309E">
        <w:t xml:space="preserve"> Key </w:t>
      </w:r>
      <w:proofErr w:type="spellStart"/>
      <w:r w:rsidR="0035309E">
        <w:t>Question</w:t>
      </w:r>
      <w:proofErr w:type="spellEnd"/>
    </w:p>
    <w:p w14:paraId="5D7E8251" w14:textId="2529E666" w:rsidR="0035309E" w:rsidRDefault="0035309E" w:rsidP="00847E98">
      <w:pPr>
        <w:rPr>
          <w:lang w:val="en-US"/>
        </w:rPr>
      </w:pPr>
      <w:r w:rsidRPr="0035309E">
        <w:rPr>
          <w:lang w:val="en-US"/>
        </w:rPr>
        <w:t xml:space="preserve">The question </w:t>
      </w:r>
      <w:r>
        <w:rPr>
          <w:lang w:val="en-US"/>
        </w:rPr>
        <w:t xml:space="preserve">posed in this study </w:t>
      </w:r>
      <w:r w:rsidRPr="0035309E">
        <w:rPr>
          <w:lang w:val="en-US"/>
        </w:rPr>
        <w:t>is to what extent learning processes regarding light control and light distribution curves have already led and wi</w:t>
      </w:r>
      <w:r>
        <w:rPr>
          <w:lang w:val="en-US"/>
        </w:rPr>
        <w:t>ll lead to faster and more cost-</w:t>
      </w:r>
      <w:r w:rsidRPr="0035309E">
        <w:rPr>
          <w:lang w:val="en-US"/>
        </w:rPr>
        <w:t xml:space="preserve">efficient planning processes </w:t>
      </w:r>
      <w:r>
        <w:rPr>
          <w:lang w:val="en-US"/>
        </w:rPr>
        <w:t xml:space="preserve">regarding energy-efficient lighting </w:t>
      </w:r>
      <w:r w:rsidRPr="0035309E">
        <w:rPr>
          <w:lang w:val="en-US"/>
        </w:rPr>
        <w:t>over time</w:t>
      </w:r>
      <w:r>
        <w:rPr>
          <w:lang w:val="en-US"/>
        </w:rPr>
        <w:t xml:space="preserve"> in the case of German municipalities</w:t>
      </w:r>
      <w:r w:rsidRPr="0035309E">
        <w:rPr>
          <w:lang w:val="en-US"/>
        </w:rPr>
        <w:t>.</w:t>
      </w:r>
      <w:r>
        <w:rPr>
          <w:lang w:val="en-US"/>
        </w:rPr>
        <w:t xml:space="preserve"> A </w:t>
      </w:r>
      <w:r w:rsidR="00847E98" w:rsidRPr="00847E98">
        <w:rPr>
          <w:lang w:val="en-US"/>
        </w:rPr>
        <w:t xml:space="preserve">goal </w:t>
      </w:r>
      <w:r>
        <w:rPr>
          <w:lang w:val="en-US"/>
        </w:rPr>
        <w:t xml:space="preserve">of the German federal government is </w:t>
      </w:r>
      <w:r w:rsidR="00847E98" w:rsidRPr="00847E98">
        <w:rPr>
          <w:lang w:val="en-US"/>
        </w:rPr>
        <w:t>to reach climate neutrality until the year 2045</w:t>
      </w:r>
      <w:r>
        <w:rPr>
          <w:lang w:val="en-US"/>
        </w:rPr>
        <w:t xml:space="preserve">, which </w:t>
      </w:r>
      <w:proofErr w:type="gramStart"/>
      <w:r w:rsidR="00847E98" w:rsidRPr="00847E98">
        <w:rPr>
          <w:lang w:val="en-US"/>
        </w:rPr>
        <w:t>can only be reached</w:t>
      </w:r>
      <w:proofErr w:type="gramEnd"/>
      <w:r w:rsidR="00847E98" w:rsidRPr="00847E98">
        <w:rPr>
          <w:lang w:val="en-US"/>
        </w:rPr>
        <w:t xml:space="preserve"> by massively increasing the electricity production from renewable</w:t>
      </w:r>
      <w:r>
        <w:rPr>
          <w:lang w:val="en-US"/>
        </w:rPr>
        <w:t>s and decreasing</w:t>
      </w:r>
      <w:r w:rsidR="00847E98" w:rsidRPr="00847E98">
        <w:rPr>
          <w:lang w:val="en-US"/>
        </w:rPr>
        <w:t xml:space="preserve"> electricity demand </w:t>
      </w:r>
      <w:r>
        <w:rPr>
          <w:lang w:val="en-US"/>
        </w:rPr>
        <w:t>in</w:t>
      </w:r>
      <w:r w:rsidR="00847E98" w:rsidRPr="00847E98">
        <w:rPr>
          <w:lang w:val="en-US"/>
        </w:rPr>
        <w:t xml:space="preserve"> e</w:t>
      </w:r>
      <w:r>
        <w:rPr>
          <w:lang w:val="en-US"/>
        </w:rPr>
        <w:t>nergy-</w:t>
      </w:r>
      <w:r w:rsidR="00847E98" w:rsidRPr="00847E98">
        <w:rPr>
          <w:lang w:val="en-US"/>
        </w:rPr>
        <w:t>intensive sectors. In Germany</w:t>
      </w:r>
      <w:r>
        <w:rPr>
          <w:lang w:val="en-US"/>
        </w:rPr>
        <w:t>,</w:t>
      </w:r>
      <w:r w:rsidR="00847E98" w:rsidRPr="00847E98">
        <w:rPr>
          <w:lang w:val="en-US"/>
        </w:rPr>
        <w:t xml:space="preserve"> artificial lighting accounts for 13% of total electricity </w:t>
      </w:r>
      <w:r>
        <w:rPr>
          <w:lang w:val="en-US"/>
        </w:rPr>
        <w:t xml:space="preserve">supply </w:t>
      </w:r>
      <w:r w:rsidR="00847E98" w:rsidRPr="00847E98">
        <w:rPr>
          <w:lang w:val="en-US"/>
        </w:rPr>
        <w:t xml:space="preserve">in 2019. </w:t>
      </w:r>
      <w:r>
        <w:rPr>
          <w:lang w:val="en-US"/>
        </w:rPr>
        <w:t xml:space="preserve">In that year, </w:t>
      </w:r>
      <w:r w:rsidR="00847E98" w:rsidRPr="00847E98">
        <w:rPr>
          <w:lang w:val="en-US"/>
        </w:rPr>
        <w:t xml:space="preserve">around 30% of all </w:t>
      </w:r>
      <w:proofErr w:type="gramStart"/>
      <w:r w:rsidR="00847E98" w:rsidRPr="00847E98">
        <w:rPr>
          <w:lang w:val="en-US"/>
        </w:rPr>
        <w:t>street lights</w:t>
      </w:r>
      <w:proofErr w:type="gramEnd"/>
      <w:r w:rsidR="00847E98" w:rsidRPr="00847E98">
        <w:rPr>
          <w:lang w:val="en-US"/>
        </w:rPr>
        <w:t xml:space="preserve"> in Germany were equipped with highly energy-efficient LED lamps, and according to the modeled diffusion process in this study LED saturation is likely to be reached between 2035 and 2040 depending on the actual market potential fo</w:t>
      </w:r>
      <w:r>
        <w:rPr>
          <w:lang w:val="en-US"/>
        </w:rPr>
        <w:t>r LED in street lights.</w:t>
      </w:r>
    </w:p>
    <w:p w14:paraId="79C406CC" w14:textId="77777777" w:rsidR="0035309E" w:rsidRDefault="0035309E" w:rsidP="00847E98">
      <w:pPr>
        <w:rPr>
          <w:lang w:val="en-US"/>
        </w:rPr>
      </w:pPr>
    </w:p>
    <w:p w14:paraId="00203371" w14:textId="1CC33F48" w:rsidR="005E4D4F" w:rsidRPr="005E4D4F" w:rsidRDefault="005E4D4F" w:rsidP="005E4D4F">
      <w:pPr>
        <w:pStyle w:val="Ueberschrift"/>
      </w:pPr>
      <w:proofErr w:type="spellStart"/>
      <w:r w:rsidRPr="005E4D4F">
        <w:t>Methodi</w:t>
      </w:r>
      <w:r w:rsidR="0035309E">
        <w:t>cal</w:t>
      </w:r>
      <w:proofErr w:type="spellEnd"/>
      <w:r w:rsidR="0035309E">
        <w:t xml:space="preserve"> Approach</w:t>
      </w:r>
    </w:p>
    <w:p w14:paraId="6E621A63" w14:textId="17FFBF07" w:rsidR="005E4D4F" w:rsidRPr="0035309E" w:rsidRDefault="002E310E" w:rsidP="00227125">
      <w:pPr>
        <w:rPr>
          <w:lang w:val="en-US"/>
        </w:rPr>
      </w:pPr>
      <w:r w:rsidRPr="002E310E">
        <w:rPr>
          <w:lang w:val="en-US"/>
        </w:rPr>
        <w:t>T</w:t>
      </w:r>
      <w:r w:rsidRPr="0035309E">
        <w:rPr>
          <w:lang w:val="en-US"/>
        </w:rPr>
        <w:t xml:space="preserve">he </w:t>
      </w:r>
      <w:r>
        <w:rPr>
          <w:lang w:val="en-US"/>
        </w:rPr>
        <w:t xml:space="preserve">diffusion </w:t>
      </w:r>
      <w:r>
        <w:rPr>
          <w:lang w:val="en-US"/>
        </w:rPr>
        <w:t xml:space="preserve">of innovation </w:t>
      </w:r>
      <w:r>
        <w:rPr>
          <w:lang w:val="en-US"/>
        </w:rPr>
        <w:t xml:space="preserve">model of </w:t>
      </w:r>
      <w:r w:rsidRPr="0035309E">
        <w:rPr>
          <w:lang w:val="en-US"/>
        </w:rPr>
        <w:t xml:space="preserve">Bass </w:t>
      </w:r>
      <w:r>
        <w:rPr>
          <w:lang w:val="en-US"/>
        </w:rPr>
        <w:t xml:space="preserve">(1969) </w:t>
      </w:r>
      <w:proofErr w:type="gramStart"/>
      <w:r>
        <w:rPr>
          <w:lang w:val="en-US"/>
        </w:rPr>
        <w:t>was applied</w:t>
      </w:r>
      <w:proofErr w:type="gramEnd"/>
      <w:r w:rsidRPr="0035309E">
        <w:rPr>
          <w:lang w:val="en-US"/>
        </w:rPr>
        <w:t xml:space="preserve"> </w:t>
      </w:r>
      <w:r>
        <w:rPr>
          <w:lang w:val="en-US"/>
        </w:rPr>
        <w:t>t</w:t>
      </w:r>
      <w:r w:rsidR="0035309E" w:rsidRPr="0035309E">
        <w:rPr>
          <w:lang w:val="en-US"/>
        </w:rPr>
        <w:t xml:space="preserve">o model the diffusion of LED technology </w:t>
      </w:r>
      <w:r>
        <w:rPr>
          <w:lang w:val="en-US"/>
        </w:rPr>
        <w:t>for</w:t>
      </w:r>
      <w:r w:rsidR="0035309E" w:rsidRPr="0035309E">
        <w:rPr>
          <w:lang w:val="en-US"/>
        </w:rPr>
        <w:t xml:space="preserve"> </w:t>
      </w:r>
      <w:r>
        <w:rPr>
          <w:lang w:val="en-US"/>
        </w:rPr>
        <w:t xml:space="preserve">public </w:t>
      </w:r>
      <w:r w:rsidR="0035309E" w:rsidRPr="0035309E">
        <w:rPr>
          <w:lang w:val="en-US"/>
        </w:rPr>
        <w:t>street lighting</w:t>
      </w:r>
      <w:r>
        <w:rPr>
          <w:lang w:val="en-US"/>
        </w:rPr>
        <w:t xml:space="preserve"> in Germany</w:t>
      </w:r>
      <w:r w:rsidR="0035309E" w:rsidRPr="0035309E">
        <w:rPr>
          <w:lang w:val="en-US"/>
        </w:rPr>
        <w:t xml:space="preserve">. </w:t>
      </w:r>
      <w:r w:rsidR="0035309E">
        <w:rPr>
          <w:lang w:val="en-US"/>
        </w:rPr>
        <w:t>In</w:t>
      </w:r>
      <w:r w:rsidR="0035309E" w:rsidRPr="0035309E">
        <w:rPr>
          <w:lang w:val="en-US"/>
        </w:rPr>
        <w:t xml:space="preserve"> doing so, the rate of growth of the pro</w:t>
      </w:r>
      <w:r w:rsidR="0035309E">
        <w:rPr>
          <w:lang w:val="en-US"/>
        </w:rPr>
        <w:t>portion of adopting individuals</w:t>
      </w:r>
      <w:r w:rsidR="0035309E" w:rsidRPr="0035309E">
        <w:rPr>
          <w:lang w:val="en-US"/>
        </w:rPr>
        <w:t xml:space="preserve"> or</w:t>
      </w:r>
      <w:r w:rsidR="0035309E">
        <w:rPr>
          <w:lang w:val="en-US"/>
        </w:rPr>
        <w:t>,</w:t>
      </w:r>
      <w:r w:rsidR="0035309E" w:rsidRPr="0035309E">
        <w:rPr>
          <w:lang w:val="en-US"/>
        </w:rPr>
        <w:t xml:space="preserve"> in our case, cities and municipalities can be determine</w:t>
      </w:r>
      <w:bookmarkStart w:id="0" w:name="_GoBack"/>
      <w:bookmarkEnd w:id="0"/>
      <w:r w:rsidR="0035309E" w:rsidRPr="0035309E">
        <w:rPr>
          <w:lang w:val="en-US"/>
        </w:rPr>
        <w:t>d</w:t>
      </w:r>
      <w:r w:rsidR="0035309E">
        <w:rPr>
          <w:lang w:val="en-US"/>
        </w:rPr>
        <w:t>, making</w:t>
      </w:r>
      <w:r w:rsidR="0035309E" w:rsidRPr="0035309E">
        <w:rPr>
          <w:lang w:val="en-US"/>
        </w:rPr>
        <w:t xml:space="preserve"> it possible to predict the future development of the diffusion process. The occurrence of the typical </w:t>
      </w:r>
      <w:r w:rsidR="0035309E">
        <w:rPr>
          <w:lang w:val="en-US"/>
        </w:rPr>
        <w:t xml:space="preserve">sigmoid diffusion </w:t>
      </w:r>
      <w:r w:rsidR="0035309E" w:rsidRPr="0035309E">
        <w:rPr>
          <w:lang w:val="en-US"/>
        </w:rPr>
        <w:t xml:space="preserve">curve </w:t>
      </w:r>
      <w:proofErr w:type="gramStart"/>
      <w:r w:rsidR="0035309E" w:rsidRPr="0035309E">
        <w:rPr>
          <w:lang w:val="en-US"/>
        </w:rPr>
        <w:t>is explained</w:t>
      </w:r>
      <w:proofErr w:type="gramEnd"/>
      <w:r w:rsidR="0035309E" w:rsidRPr="0035309E">
        <w:rPr>
          <w:lang w:val="en-US"/>
        </w:rPr>
        <w:t xml:space="preserve"> by the premise that adoption of new technology or processes is limited by the diffusion of information about the innovation, which can be considered </w:t>
      </w:r>
      <w:r w:rsidR="0035309E">
        <w:rPr>
          <w:lang w:val="en-US"/>
        </w:rPr>
        <w:t xml:space="preserve">as </w:t>
      </w:r>
      <w:r w:rsidR="0035309E" w:rsidRPr="0035309E">
        <w:rPr>
          <w:lang w:val="en-US"/>
        </w:rPr>
        <w:t>an epidemic process (</w:t>
      </w:r>
      <w:proofErr w:type="spellStart"/>
      <w:r w:rsidR="0035309E" w:rsidRPr="0035309E">
        <w:rPr>
          <w:lang w:val="en-US"/>
        </w:rPr>
        <w:t>Geroski</w:t>
      </w:r>
      <w:proofErr w:type="spellEnd"/>
      <w:r w:rsidR="0035309E" w:rsidRPr="0035309E">
        <w:rPr>
          <w:lang w:val="en-US"/>
        </w:rPr>
        <w:t>, 1999).</w:t>
      </w:r>
    </w:p>
    <w:p w14:paraId="449B4BD7" w14:textId="77777777" w:rsidR="005E4D4F" w:rsidRPr="0035309E" w:rsidRDefault="005E4D4F" w:rsidP="00227125">
      <w:pPr>
        <w:rPr>
          <w:lang w:val="en-US"/>
        </w:rPr>
      </w:pPr>
    </w:p>
    <w:p w14:paraId="14B95358" w14:textId="412EB3AE" w:rsidR="005E4D4F" w:rsidRPr="00B538FF" w:rsidRDefault="0035309E" w:rsidP="005E4D4F">
      <w:pPr>
        <w:pStyle w:val="Ueberschrift"/>
        <w:rPr>
          <w:lang w:val="en-US"/>
        </w:rPr>
      </w:pPr>
      <w:r w:rsidRPr="00B538FF">
        <w:rPr>
          <w:lang w:val="en-US"/>
        </w:rPr>
        <w:t>Results and Conclusions</w:t>
      </w:r>
    </w:p>
    <w:p w14:paraId="53730162" w14:textId="367818A6" w:rsidR="005E4D4F" w:rsidRPr="00B538FF" w:rsidRDefault="00B538FF" w:rsidP="00227125">
      <w:pPr>
        <w:rPr>
          <w:lang w:val="en-US"/>
        </w:rPr>
      </w:pPr>
      <w:r w:rsidRPr="00B538FF">
        <w:rPr>
          <w:lang w:val="en-US"/>
        </w:rPr>
        <w:t xml:space="preserve">All simulations indicate high coefficients of correlation for all considered market potentials of 95%, 90%, and 80%. The 95% market potential, </w:t>
      </w:r>
      <w:r w:rsidR="002E310E">
        <w:rPr>
          <w:lang w:val="en-US"/>
        </w:rPr>
        <w:t>reflecting</w:t>
      </w:r>
      <w:r w:rsidRPr="00B538FF">
        <w:rPr>
          <w:lang w:val="en-US"/>
        </w:rPr>
        <w:t xml:space="preserve"> a number of possible LEDs in the German street lighting system of 8,550,000, </w:t>
      </w:r>
      <w:r w:rsidR="002E310E">
        <w:rPr>
          <w:lang w:val="en-US"/>
        </w:rPr>
        <w:t xml:space="preserve">shows </w:t>
      </w:r>
      <w:r w:rsidRPr="00B538FF">
        <w:rPr>
          <w:lang w:val="en-US"/>
        </w:rPr>
        <w:t xml:space="preserve">a slightly higher correlation </w:t>
      </w:r>
      <w:r w:rsidR="002E310E">
        <w:rPr>
          <w:lang w:val="en-US"/>
        </w:rPr>
        <w:t>with</w:t>
      </w:r>
      <w:r w:rsidRPr="00B538FF">
        <w:rPr>
          <w:lang w:val="en-US"/>
        </w:rPr>
        <w:t xml:space="preserve"> the known number of LED</w:t>
      </w:r>
      <w:r>
        <w:rPr>
          <w:lang w:val="en-US"/>
        </w:rPr>
        <w:t xml:space="preserve"> lamp</w:t>
      </w:r>
      <w:r w:rsidRPr="00B538FF">
        <w:rPr>
          <w:lang w:val="en-US"/>
        </w:rPr>
        <w:t>s of 2009, 2014, and 2019. We therefore assume the simulated 95% market potential to be closer to the real market potential than the other simulated potentials. In addition, the results indicate a peak of around 420,000 to 460,00</w:t>
      </w:r>
      <w:r w:rsidR="00B20289">
        <w:rPr>
          <w:lang w:val="en-US"/>
        </w:rPr>
        <w:t>0 LED implementations in street</w:t>
      </w:r>
      <w:r w:rsidRPr="00B538FF">
        <w:rPr>
          <w:lang w:val="en-US"/>
        </w:rPr>
        <w:t>lights between 2021 and 2024. However, simulating the development of LED installations in street lighting is p</w:t>
      </w:r>
      <w:r>
        <w:rPr>
          <w:lang w:val="en-US"/>
        </w:rPr>
        <w:t>ossible only to a limited extent</w:t>
      </w:r>
      <w:r w:rsidRPr="00B538FF">
        <w:rPr>
          <w:lang w:val="en-US"/>
        </w:rPr>
        <w:t>. If the actual number of installed LEDs would be available for more years than just for 2009, 2014, and 2019, the simulations are likely to indicate a more accurate image of the potential diffusion process.</w:t>
      </w:r>
      <w:r w:rsidR="00F83EB1">
        <w:rPr>
          <w:lang w:val="en-US"/>
        </w:rPr>
        <w:t xml:space="preserve"> </w:t>
      </w:r>
      <w:r w:rsidR="00F83EB1" w:rsidRPr="00F83EB1">
        <w:rPr>
          <w:lang w:val="en-US"/>
        </w:rPr>
        <w:t xml:space="preserve">Evaluating the economic impact of government subsidies on the likeliness of street lighting operators to modernize with LED, we can detect a general consistency between the calculated net present values (NPV) and the payback periods of the considered ventures. For almost all cases where payback periods are within the 25-year timeframe, the NPV calculations indicate positive values after a 25-year period of operation. When considering 2% inflation to 25% subsidizing rate, these being close to the years of the projects’ execution, all </w:t>
      </w:r>
      <w:r w:rsidR="00F83EB1">
        <w:rPr>
          <w:lang w:val="en-US"/>
        </w:rPr>
        <w:t xml:space="preserve">except for one project investigated </w:t>
      </w:r>
      <w:r w:rsidR="00B20289">
        <w:rPr>
          <w:lang w:val="en-US"/>
        </w:rPr>
        <w:t>indicate positive NPV.</w:t>
      </w:r>
    </w:p>
    <w:p w14:paraId="7E08E6D0" w14:textId="5A0676A9" w:rsidR="00803917" w:rsidRDefault="00B538FF" w:rsidP="00227125">
      <w:r>
        <w:rPr>
          <w:noProof/>
          <w:lang w:eastAsia="de-DE"/>
        </w:rPr>
        <w:lastRenderedPageBreak/>
        <w:drawing>
          <wp:inline distT="0" distB="0" distL="0" distR="0" wp14:anchorId="45032AA1" wp14:editId="380C1E89">
            <wp:extent cx="5478780" cy="2612390"/>
            <wp:effectExtent l="0" t="0" r="7620" b="16510"/>
            <wp:docPr id="31" name="Diagramm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68BAE14" w14:textId="4B6BEF03" w:rsidR="00803917" w:rsidRPr="00B538FF" w:rsidRDefault="0035309E" w:rsidP="00D53E86">
      <w:pPr>
        <w:pStyle w:val="Abbildungsbeschriftung"/>
        <w:rPr>
          <w:lang w:val="en-US"/>
        </w:rPr>
      </w:pPr>
      <w:r w:rsidRPr="00B538FF">
        <w:rPr>
          <w:lang w:val="en-US"/>
        </w:rPr>
        <w:t>Figure</w:t>
      </w:r>
      <w:r w:rsidR="00803917" w:rsidRPr="00B538FF">
        <w:rPr>
          <w:lang w:val="en-US"/>
        </w:rPr>
        <w:t xml:space="preserve"> 1: </w:t>
      </w:r>
      <w:r w:rsidR="00B538FF" w:rsidRPr="00B538FF">
        <w:rPr>
          <w:lang w:val="en-US"/>
        </w:rPr>
        <w:t xml:space="preserve">Bass diffusion model </w:t>
      </w:r>
      <w:r w:rsidR="00B538FF">
        <w:rPr>
          <w:lang w:val="en-US"/>
        </w:rPr>
        <w:t>applied to cumulative LED adoption for public lighting</w:t>
      </w:r>
      <w:r w:rsidR="00B538FF" w:rsidRPr="00B538FF">
        <w:rPr>
          <w:lang w:val="en-US"/>
        </w:rPr>
        <w:t xml:space="preserve"> (95%, 90%, and 80% market potential)</w:t>
      </w:r>
    </w:p>
    <w:p w14:paraId="27A1FA20" w14:textId="77777777" w:rsidR="002946B8" w:rsidRPr="00B538FF" w:rsidRDefault="002946B8" w:rsidP="00227125">
      <w:pPr>
        <w:rPr>
          <w:lang w:val="en-US"/>
        </w:rPr>
      </w:pPr>
    </w:p>
    <w:p w14:paraId="0C0574B2" w14:textId="4816458E" w:rsidR="005E4D4F" w:rsidRPr="00B538FF" w:rsidRDefault="0035309E" w:rsidP="00A156E4">
      <w:pPr>
        <w:pStyle w:val="Ueberschrift"/>
        <w:rPr>
          <w:lang w:val="en-US"/>
        </w:rPr>
      </w:pPr>
      <w:r w:rsidRPr="00B538FF">
        <w:rPr>
          <w:lang w:val="en-US"/>
        </w:rPr>
        <w:t>References</w:t>
      </w:r>
    </w:p>
    <w:p w14:paraId="485A86B0" w14:textId="51FB9287" w:rsidR="005E4D4F" w:rsidRPr="00B538FF" w:rsidRDefault="00483B87" w:rsidP="00227125">
      <w:pPr>
        <w:pStyle w:val="Literatur"/>
        <w:rPr>
          <w:lang w:val="en-US"/>
        </w:rPr>
      </w:pPr>
      <w:r w:rsidRPr="00B538FF">
        <w:rPr>
          <w:lang w:val="en-US"/>
        </w:rPr>
        <w:t>[1]</w:t>
      </w:r>
      <w:r w:rsidRPr="00B538FF">
        <w:rPr>
          <w:lang w:val="en-US"/>
        </w:rPr>
        <w:tab/>
      </w:r>
      <w:r w:rsidR="00B538FF" w:rsidRPr="00B538FF">
        <w:rPr>
          <w:lang w:val="en-US"/>
        </w:rPr>
        <w:t>Bass, F.M. (1969). A new product growth for model consumer durables. https://www.jstor.org /stable/2628128 (visited on 03/01/2022). Management Science (15)215-227.</w:t>
      </w:r>
    </w:p>
    <w:p w14:paraId="53EDE65A" w14:textId="71FED8AF" w:rsidR="00010E92" w:rsidRPr="00227125" w:rsidRDefault="00483B87" w:rsidP="00227125">
      <w:pPr>
        <w:pStyle w:val="Literatur"/>
      </w:pPr>
      <w:r w:rsidRPr="00B538FF">
        <w:rPr>
          <w:lang w:val="en-US"/>
        </w:rPr>
        <w:t>[2]</w:t>
      </w:r>
      <w:r w:rsidRPr="00B538FF">
        <w:rPr>
          <w:lang w:val="en-US"/>
        </w:rPr>
        <w:tab/>
      </w:r>
      <w:proofErr w:type="spellStart"/>
      <w:r w:rsidR="00B538FF" w:rsidRPr="00B538FF">
        <w:rPr>
          <w:lang w:val="en-US"/>
        </w:rPr>
        <w:t>Geroski</w:t>
      </w:r>
      <w:proofErr w:type="spellEnd"/>
      <w:r w:rsidR="00B538FF" w:rsidRPr="00B538FF">
        <w:rPr>
          <w:lang w:val="en-US"/>
        </w:rPr>
        <w:t xml:space="preserve">, P.A. (1999). Models of technology diffusion. Discussion Paper No. 2146, Centre for Economic Policy Research, London. </w:t>
      </w:r>
      <w:r w:rsidR="00B538FF" w:rsidRPr="00B538FF">
        <w:t>ISSN 0265-8003.</w:t>
      </w:r>
    </w:p>
    <w:p w14:paraId="68AAF16B" w14:textId="144ED352" w:rsidR="005E4D4F" w:rsidRDefault="005E4D4F" w:rsidP="00227125">
      <w:pPr>
        <w:pStyle w:val="Literatur"/>
      </w:pPr>
    </w:p>
    <w:p w14:paraId="2F0DAADC" w14:textId="3A608AFF" w:rsidR="00564569" w:rsidRDefault="00564569" w:rsidP="00227125">
      <w:pPr>
        <w:pStyle w:val="Literatur"/>
      </w:pPr>
    </w:p>
    <w:p w14:paraId="24C120A5" w14:textId="77777777" w:rsidR="00564569" w:rsidRDefault="00564569" w:rsidP="00227125">
      <w:pPr>
        <w:pStyle w:val="Literatur"/>
      </w:pPr>
    </w:p>
    <w:sectPr w:rsidR="0056456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B653D" w14:textId="77777777" w:rsidR="00372D53" w:rsidRDefault="00372D53">
      <w:r>
        <w:separator/>
      </w:r>
    </w:p>
  </w:endnote>
  <w:endnote w:type="continuationSeparator" w:id="0">
    <w:p w14:paraId="50B9BDD1" w14:textId="77777777" w:rsidR="00372D53" w:rsidRDefault="0037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FA349" w14:textId="77777777" w:rsidR="00372D53" w:rsidRDefault="00372D53">
      <w:r>
        <w:separator/>
      </w:r>
    </w:p>
  </w:footnote>
  <w:footnote w:type="continuationSeparator" w:id="0">
    <w:p w14:paraId="2F96F006" w14:textId="77777777" w:rsidR="00372D53" w:rsidRDefault="00372D53">
      <w:r>
        <w:continuationSeparator/>
      </w:r>
    </w:p>
  </w:footnote>
  <w:footnote w:id="1">
    <w:p w14:paraId="4D3ADB35" w14:textId="2276666B" w:rsidR="00847E98" w:rsidRPr="00FB69AE" w:rsidRDefault="00847E98" w:rsidP="00847E98">
      <w:r w:rsidRPr="00A115D2">
        <w:rPr>
          <w:rStyle w:val="Funotenzeichen"/>
        </w:rPr>
        <w:footnoteRef/>
      </w:r>
      <w:r w:rsidRPr="00D53E86">
        <w:t xml:space="preserve"> </w:t>
      </w:r>
      <w:proofErr w:type="spellStart"/>
      <w:r w:rsidR="0035309E">
        <w:t>Mathieustrasse</w:t>
      </w:r>
      <w:proofErr w:type="spellEnd"/>
      <w:r w:rsidR="0035309E">
        <w:t xml:space="preserve"> 10, 52074 Aachen, Germany, Tel.: +49 241 80 49 820</w:t>
      </w:r>
      <w:r>
        <w:t>, Email</w:t>
      </w:r>
      <w:r w:rsidR="0035309E">
        <w:t>: RMadlener@eonerc.rwth-aachen.de</w:t>
      </w:r>
      <w:r>
        <w:t>, Web</w:t>
      </w:r>
      <w:r w:rsidR="0035309E">
        <w:t>: www.fcn.eonerc.rwth-aachen.de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D4F"/>
    <w:rsid w:val="00010E92"/>
    <w:rsid w:val="002014D3"/>
    <w:rsid w:val="00227125"/>
    <w:rsid w:val="00262FD5"/>
    <w:rsid w:val="002946B8"/>
    <w:rsid w:val="002E310E"/>
    <w:rsid w:val="00335E63"/>
    <w:rsid w:val="00350F98"/>
    <w:rsid w:val="0035309E"/>
    <w:rsid w:val="00372D53"/>
    <w:rsid w:val="003B676F"/>
    <w:rsid w:val="003C28FE"/>
    <w:rsid w:val="00483B87"/>
    <w:rsid w:val="00564569"/>
    <w:rsid w:val="005B1ADB"/>
    <w:rsid w:val="005E4D4F"/>
    <w:rsid w:val="007378C8"/>
    <w:rsid w:val="00741EC0"/>
    <w:rsid w:val="00803917"/>
    <w:rsid w:val="00847E98"/>
    <w:rsid w:val="009410D4"/>
    <w:rsid w:val="00985A1E"/>
    <w:rsid w:val="00A07737"/>
    <w:rsid w:val="00A156E4"/>
    <w:rsid w:val="00A6148D"/>
    <w:rsid w:val="00B20289"/>
    <w:rsid w:val="00B538FF"/>
    <w:rsid w:val="00BF05FA"/>
    <w:rsid w:val="00CE1A70"/>
    <w:rsid w:val="00D53E86"/>
    <w:rsid w:val="00D736F8"/>
    <w:rsid w:val="00E520E6"/>
    <w:rsid w:val="00F83EB1"/>
    <w:rsid w:val="00FB69AE"/>
    <w:rsid w:val="00FD5D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7125"/>
    <w:pPr>
      <w:jc w:val="both"/>
    </w:pPr>
    <w:rPr>
      <w:rFonts w:ascii="Arial" w:hAnsi="Arial"/>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Arbeitsblat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1"/>
          <c:order val="1"/>
          <c:tx>
            <c:strRef>
              <c:f>'Complete Diffusion'!$I$22</c:f>
              <c:strCache>
                <c:ptCount val="1"/>
                <c:pt idx="0">
                  <c:v>actual cumulative LEDs</c:v>
                </c:pt>
              </c:strCache>
            </c:strRef>
          </c:tx>
          <c:spPr>
            <a:ln>
              <a:noFill/>
            </a:ln>
          </c:spPr>
          <c:marker>
            <c:symbol val="circle"/>
            <c:size val="4"/>
          </c:marker>
          <c:xVal>
            <c:numRef>
              <c:f>'Complete Diffusion'!$A$23:$A$65</c:f>
              <c:numCache>
                <c:formatCode>General</c:formatCode>
                <c:ptCount val="4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pt idx="26">
                  <c:v>2034</c:v>
                </c:pt>
                <c:pt idx="27">
                  <c:v>2035</c:v>
                </c:pt>
                <c:pt idx="28">
                  <c:v>2036</c:v>
                </c:pt>
                <c:pt idx="29">
                  <c:v>2037</c:v>
                </c:pt>
                <c:pt idx="30">
                  <c:v>2038</c:v>
                </c:pt>
                <c:pt idx="31">
                  <c:v>2039</c:v>
                </c:pt>
                <c:pt idx="32">
                  <c:v>2040</c:v>
                </c:pt>
                <c:pt idx="33">
                  <c:v>2041</c:v>
                </c:pt>
                <c:pt idx="34">
                  <c:v>2042</c:v>
                </c:pt>
                <c:pt idx="35">
                  <c:v>2043</c:v>
                </c:pt>
                <c:pt idx="36">
                  <c:v>2044</c:v>
                </c:pt>
                <c:pt idx="37">
                  <c:v>2045</c:v>
                </c:pt>
                <c:pt idx="38">
                  <c:v>2046</c:v>
                </c:pt>
                <c:pt idx="39">
                  <c:v>2047</c:v>
                </c:pt>
                <c:pt idx="40">
                  <c:v>2048</c:v>
                </c:pt>
                <c:pt idx="41">
                  <c:v>2049</c:v>
                </c:pt>
                <c:pt idx="42">
                  <c:v>2050</c:v>
                </c:pt>
              </c:numCache>
            </c:numRef>
          </c:xVal>
          <c:yVal>
            <c:numRef>
              <c:f>'Complete Diffusion'!$I$23:$I$34</c:f>
              <c:numCache>
                <c:formatCode>#,##0</c:formatCode>
                <c:ptCount val="12"/>
                <c:pt idx="1">
                  <c:v>270000</c:v>
                </c:pt>
                <c:pt idx="6" formatCode="General">
                  <c:v>990000</c:v>
                </c:pt>
                <c:pt idx="11">
                  <c:v>2700000.0000000014</c:v>
                </c:pt>
              </c:numCache>
            </c:numRef>
          </c:yVal>
          <c:smooth val="0"/>
          <c:extLst>
            <c:ext xmlns:c16="http://schemas.microsoft.com/office/drawing/2014/chart" uri="{C3380CC4-5D6E-409C-BE32-E72D297353CC}">
              <c16:uniqueId val="{00000000-2C9F-452F-8D7A-7803F1602C95}"/>
            </c:ext>
          </c:extLst>
        </c:ser>
        <c:dLbls>
          <c:showLegendKey val="0"/>
          <c:showVal val="0"/>
          <c:showCatName val="0"/>
          <c:showSerName val="0"/>
          <c:showPercent val="0"/>
          <c:showBubbleSize val="0"/>
        </c:dLbls>
        <c:axId val="430736896"/>
        <c:axId val="430738816"/>
      </c:scatterChart>
      <c:scatterChart>
        <c:scatterStyle val="smoothMarker"/>
        <c:varyColors val="0"/>
        <c:ser>
          <c:idx val="0"/>
          <c:order val="0"/>
          <c:tx>
            <c:strRef>
              <c:f>'Complete Diffusion'!$C$22</c:f>
              <c:strCache>
                <c:ptCount val="1"/>
                <c:pt idx="0">
                  <c:v>cumulative adopters (95%)</c:v>
                </c:pt>
              </c:strCache>
            </c:strRef>
          </c:tx>
          <c:spPr>
            <a:ln w="12700">
              <a:solidFill>
                <a:sysClr val="windowText" lastClr="000000"/>
              </a:solidFill>
            </a:ln>
          </c:spPr>
          <c:marker>
            <c:symbol val="none"/>
          </c:marker>
          <c:xVal>
            <c:numRef>
              <c:f>'Complete Diffusion'!$A$23:$A$65</c:f>
              <c:numCache>
                <c:formatCode>General</c:formatCode>
                <c:ptCount val="4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pt idx="26">
                  <c:v>2034</c:v>
                </c:pt>
                <c:pt idx="27">
                  <c:v>2035</c:v>
                </c:pt>
                <c:pt idx="28">
                  <c:v>2036</c:v>
                </c:pt>
                <c:pt idx="29">
                  <c:v>2037</c:v>
                </c:pt>
                <c:pt idx="30">
                  <c:v>2038</c:v>
                </c:pt>
                <c:pt idx="31">
                  <c:v>2039</c:v>
                </c:pt>
                <c:pt idx="32">
                  <c:v>2040</c:v>
                </c:pt>
                <c:pt idx="33">
                  <c:v>2041</c:v>
                </c:pt>
                <c:pt idx="34">
                  <c:v>2042</c:v>
                </c:pt>
                <c:pt idx="35">
                  <c:v>2043</c:v>
                </c:pt>
                <c:pt idx="36">
                  <c:v>2044</c:v>
                </c:pt>
                <c:pt idx="37">
                  <c:v>2045</c:v>
                </c:pt>
                <c:pt idx="38">
                  <c:v>2046</c:v>
                </c:pt>
                <c:pt idx="39">
                  <c:v>2047</c:v>
                </c:pt>
                <c:pt idx="40">
                  <c:v>2048</c:v>
                </c:pt>
                <c:pt idx="41">
                  <c:v>2049</c:v>
                </c:pt>
                <c:pt idx="42">
                  <c:v>2050</c:v>
                </c:pt>
              </c:numCache>
            </c:numRef>
          </c:xVal>
          <c:yVal>
            <c:numRef>
              <c:f>'Complete Diffusion'!$C$23:$C$65</c:f>
              <c:numCache>
                <c:formatCode>#,##0</c:formatCode>
                <c:ptCount val="43"/>
                <c:pt idx="0">
                  <c:v>0</c:v>
                </c:pt>
                <c:pt idx="1">
                  <c:v>113431.49838241024</c:v>
                </c:pt>
                <c:pt idx="2">
                  <c:v>246281.4552465452</c:v>
                </c:pt>
                <c:pt idx="3">
                  <c:v>401158.77724706871</c:v>
                </c:pt>
                <c:pt idx="4">
                  <c:v>580741.42414235184</c:v>
                </c:pt>
                <c:pt idx="5">
                  <c:v>787657.04940157477</c:v>
                </c:pt>
                <c:pt idx="6">
                  <c:v>1024317.2816411547</c:v>
                </c:pt>
                <c:pt idx="7">
                  <c:v>1292702.7563939716</c:v>
                </c:pt>
                <c:pt idx="8">
                  <c:v>1594102.7577474324</c:v>
                </c:pt>
                <c:pt idx="9">
                  <c:v>1928823.6619728399</c:v>
                </c:pt>
                <c:pt idx="10">
                  <c:v>2295893.8530130414</c:v>
                </c:pt>
                <c:pt idx="11">
                  <c:v>2692807.4115933315</c:v>
                </c:pt>
                <c:pt idx="12">
                  <c:v>3115360.6803192794</c:v>
                </c:pt>
                <c:pt idx="13">
                  <c:v>3557639.0824126247</c:v>
                </c:pt>
                <c:pt idx="14">
                  <c:v>4012200.4678225154</c:v>
                </c:pt>
                <c:pt idx="15">
                  <c:v>4470472.6539399009</c:v>
                </c:pt>
                <c:pt idx="16">
                  <c:v>4923339.6108561214</c:v>
                </c:pt>
                <c:pt idx="17">
                  <c:v>5361843.4257176677</c:v>
                </c:pt>
                <c:pt idx="18">
                  <c:v>5777893.6343696173</c:v>
                </c:pt>
                <c:pt idx="19">
                  <c:v>6164866.4729997506</c:v>
                </c:pt>
                <c:pt idx="20">
                  <c:v>6517999.9075642228</c:v>
                </c:pt>
                <c:pt idx="21">
                  <c:v>6834538.7567887045</c:v>
                </c:pt>
                <c:pt idx="22">
                  <c:v>7113640.5611415496</c:v>
                </c:pt>
                <c:pt idx="23">
                  <c:v>7356098.217055494</c:v>
                </c:pt>
                <c:pt idx="24">
                  <c:v>7563958.0019949861</c:v>
                </c:pt>
                <c:pt idx="25">
                  <c:v>7740110.3707438381</c:v>
                </c:pt>
                <c:pt idx="26">
                  <c:v>7887913.0576886395</c:v>
                </c:pt>
                <c:pt idx="27">
                  <c:v>8010881.7315917006</c:v>
                </c:pt>
                <c:pt idx="28">
                  <c:v>8112461.0424491698</c:v>
                </c:pt>
                <c:pt idx="29">
                  <c:v>8195872.782004389</c:v>
                </c:pt>
                <c:pt idx="30">
                  <c:v>8264028.8681118265</c:v>
                </c:pt>
                <c:pt idx="31">
                  <c:v>8319493.6331343427</c:v>
                </c:pt>
                <c:pt idx="32">
                  <c:v>8364480.41019738</c:v>
                </c:pt>
                <c:pt idx="33">
                  <c:v>8400869.8186691049</c:v>
                </c:pt>
                <c:pt idx="34">
                  <c:v>8430240.1466398928</c:v>
                </c:pt>
                <c:pt idx="35">
                  <c:v>8453903.0625851899</c:v>
                </c:pt>
                <c:pt idx="36">
                  <c:v>8472940.2261133324</c:v>
                </c:pt>
                <c:pt idx="37">
                  <c:v>8488238.130795449</c:v>
                </c:pt>
                <c:pt idx="38">
                  <c:v>8500519.7535513397</c:v>
                </c:pt>
                <c:pt idx="39">
                  <c:v>8510372.4076827317</c:v>
                </c:pt>
                <c:pt idx="40">
                  <c:v>8518271.7085103821</c:v>
                </c:pt>
                <c:pt idx="41">
                  <c:v>8524601.8551800568</c:v>
                </c:pt>
                <c:pt idx="42">
                  <c:v>8529672.5824349578</c:v>
                </c:pt>
              </c:numCache>
            </c:numRef>
          </c:yVal>
          <c:smooth val="1"/>
          <c:extLst>
            <c:ext xmlns:c16="http://schemas.microsoft.com/office/drawing/2014/chart" uri="{C3380CC4-5D6E-409C-BE32-E72D297353CC}">
              <c16:uniqueId val="{00000001-2C9F-452F-8D7A-7803F1602C95}"/>
            </c:ext>
          </c:extLst>
        </c:ser>
        <c:ser>
          <c:idx val="2"/>
          <c:order val="2"/>
          <c:tx>
            <c:strRef>
              <c:f>'Complete Diffusion'!$E$22</c:f>
              <c:strCache>
                <c:ptCount val="1"/>
                <c:pt idx="0">
                  <c:v>cumulative adopters (90%)</c:v>
                </c:pt>
              </c:strCache>
            </c:strRef>
          </c:tx>
          <c:spPr>
            <a:ln w="12700">
              <a:solidFill>
                <a:srgbClr val="F79646">
                  <a:lumMod val="75000"/>
                </a:srgbClr>
              </a:solidFill>
            </a:ln>
          </c:spPr>
          <c:marker>
            <c:symbol val="none"/>
          </c:marker>
          <c:xVal>
            <c:numRef>
              <c:f>'Complete Diffusion'!$A$23:$A$65</c:f>
              <c:numCache>
                <c:formatCode>General</c:formatCode>
                <c:ptCount val="4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pt idx="26">
                  <c:v>2034</c:v>
                </c:pt>
                <c:pt idx="27">
                  <c:v>2035</c:v>
                </c:pt>
                <c:pt idx="28">
                  <c:v>2036</c:v>
                </c:pt>
                <c:pt idx="29">
                  <c:v>2037</c:v>
                </c:pt>
                <c:pt idx="30">
                  <c:v>2038</c:v>
                </c:pt>
                <c:pt idx="31">
                  <c:v>2039</c:v>
                </c:pt>
                <c:pt idx="32">
                  <c:v>2040</c:v>
                </c:pt>
                <c:pt idx="33">
                  <c:v>2041</c:v>
                </c:pt>
                <c:pt idx="34">
                  <c:v>2042</c:v>
                </c:pt>
                <c:pt idx="35">
                  <c:v>2043</c:v>
                </c:pt>
                <c:pt idx="36">
                  <c:v>2044</c:v>
                </c:pt>
                <c:pt idx="37">
                  <c:v>2045</c:v>
                </c:pt>
                <c:pt idx="38">
                  <c:v>2046</c:v>
                </c:pt>
                <c:pt idx="39">
                  <c:v>2047</c:v>
                </c:pt>
                <c:pt idx="40">
                  <c:v>2048</c:v>
                </c:pt>
                <c:pt idx="41">
                  <c:v>2049</c:v>
                </c:pt>
                <c:pt idx="42">
                  <c:v>2050</c:v>
                </c:pt>
              </c:numCache>
            </c:numRef>
          </c:xVal>
          <c:yVal>
            <c:numRef>
              <c:f>'Complete Diffusion'!$E$23:$E$65</c:f>
              <c:numCache>
                <c:formatCode>General</c:formatCode>
                <c:ptCount val="43"/>
                <c:pt idx="0">
                  <c:v>0</c:v>
                </c:pt>
                <c:pt idx="1">
                  <c:v>112737.79490559897</c:v>
                </c:pt>
                <c:pt idx="2">
                  <c:v>245128.7241213535</c:v>
                </c:pt>
                <c:pt idx="3">
                  <c:v>399833.99081374879</c:v>
                </c:pt>
                <c:pt idx="4">
                  <c:v>579567.86825373885</c:v>
                </c:pt>
                <c:pt idx="5">
                  <c:v>786962.87134318822</c:v>
                </c:pt>
                <c:pt idx="6">
                  <c:v>1024383.8132919692</c:v>
                </c:pt>
                <c:pt idx="7">
                  <c:v>1293688.7562095877</c:v>
                </c:pt>
                <c:pt idx="8">
                  <c:v>1595943.3152966285</c:v>
                </c:pt>
                <c:pt idx="9">
                  <c:v>1931107.3600567228</c:v>
                </c:pt>
                <c:pt idx="10">
                  <c:v>2297729.0002010697</c:v>
                </c:pt>
                <c:pt idx="11" formatCode="#,##0">
                  <c:v>2692696.9384558154</c:v>
                </c:pt>
                <c:pt idx="12">
                  <c:v>3111113.4871251108</c:v>
                </c:pt>
                <c:pt idx="13">
                  <c:v>3546349.7505460591</c:v>
                </c:pt>
                <c:pt idx="14">
                  <c:v>3990325.3624056582</c:v>
                </c:pt>
                <c:pt idx="15">
                  <c:v>4434016.0439751428</c:v>
                </c:pt>
                <c:pt idx="16">
                  <c:v>4868139.7140745297</c:v>
                </c:pt>
                <c:pt idx="17">
                  <c:v>5283921.3429291202</c:v>
                </c:pt>
                <c:pt idx="18">
                  <c:v>5673807.5308290021</c:v>
                </c:pt>
                <c:pt idx="19">
                  <c:v>6032007.9103618413</c:v>
                </c:pt>
                <c:pt idx="20">
                  <c:v>6354782.1541650603</c:v>
                </c:pt>
                <c:pt idx="21">
                  <c:v>6640453.6334177209</c:v>
                </c:pt>
                <c:pt idx="22">
                  <c:v>6889190.7987299347</c:v>
                </c:pt>
                <c:pt idx="23">
                  <c:v>7102636.0292383237</c:v>
                </c:pt>
                <c:pt idx="24">
                  <c:v>7283471.6973805008</c:v>
                </c:pt>
                <c:pt idx="25">
                  <c:v>7434999.3964073788</c:v>
                </c:pt>
                <c:pt idx="26">
                  <c:v>7560782.1171108857</c:v>
                </c:pt>
                <c:pt idx="27">
                  <c:v>7664371.9287844086</c:v>
                </c:pt>
                <c:pt idx="28">
                  <c:v>7749124.5213715229</c:v>
                </c:pt>
                <c:pt idx="29">
                  <c:v>7818089.1308444375</c:v>
                </c:pt>
                <c:pt idx="30">
                  <c:v>7873956.9468914811</c:v>
                </c:pt>
                <c:pt idx="31">
                  <c:v>7919050.7628439646</c:v>
                </c:pt>
                <c:pt idx="32">
                  <c:v>7955341.0243635196</c:v>
                </c:pt>
                <c:pt idx="33">
                  <c:v>7984476.8205806101</c:v>
                </c:pt>
                <c:pt idx="34">
                  <c:v>8007823.6964442125</c:v>
                </c:pt>
                <c:pt idx="35">
                  <c:v>8026502.9603346391</c:v>
                </c:pt>
                <c:pt idx="36">
                  <c:v>8041429.2808016948</c:v>
                </c:pt>
                <c:pt idx="37">
                  <c:v>8053344.8583741123</c:v>
                </c:pt>
                <c:pt idx="38">
                  <c:v>8062849.442950882</c:v>
                </c:pt>
                <c:pt idx="39">
                  <c:v>8070426.0756332614</c:v>
                </c:pt>
                <c:pt idx="40">
                  <c:v>8076462.7805605438</c:v>
                </c:pt>
                <c:pt idx="41">
                  <c:v>8081270.606590922</c:v>
                </c:pt>
                <c:pt idx="42">
                  <c:v>8085098.4851233689</c:v>
                </c:pt>
              </c:numCache>
            </c:numRef>
          </c:yVal>
          <c:smooth val="1"/>
          <c:extLst>
            <c:ext xmlns:c16="http://schemas.microsoft.com/office/drawing/2014/chart" uri="{C3380CC4-5D6E-409C-BE32-E72D297353CC}">
              <c16:uniqueId val="{00000002-2C9F-452F-8D7A-7803F1602C95}"/>
            </c:ext>
          </c:extLst>
        </c:ser>
        <c:ser>
          <c:idx val="3"/>
          <c:order val="3"/>
          <c:tx>
            <c:strRef>
              <c:f>'Complete Diffusion'!$G$22</c:f>
              <c:strCache>
                <c:ptCount val="1"/>
                <c:pt idx="0">
                  <c:v>cumulative adopters (80%)</c:v>
                </c:pt>
              </c:strCache>
            </c:strRef>
          </c:tx>
          <c:spPr>
            <a:ln w="12700">
              <a:solidFill>
                <a:srgbClr val="00B0F0"/>
              </a:solidFill>
            </a:ln>
          </c:spPr>
          <c:marker>
            <c:symbol val="none"/>
          </c:marker>
          <c:xVal>
            <c:numRef>
              <c:f>'Complete Diffusion'!$A$23:$A$65</c:f>
              <c:numCache>
                <c:formatCode>General</c:formatCode>
                <c:ptCount val="4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pt idx="15">
                  <c:v>2023</c:v>
                </c:pt>
                <c:pt idx="16">
                  <c:v>2024</c:v>
                </c:pt>
                <c:pt idx="17">
                  <c:v>2025</c:v>
                </c:pt>
                <c:pt idx="18">
                  <c:v>2026</c:v>
                </c:pt>
                <c:pt idx="19">
                  <c:v>2027</c:v>
                </c:pt>
                <c:pt idx="20">
                  <c:v>2028</c:v>
                </c:pt>
                <c:pt idx="21">
                  <c:v>2029</c:v>
                </c:pt>
                <c:pt idx="22">
                  <c:v>2030</c:v>
                </c:pt>
                <c:pt idx="23">
                  <c:v>2031</c:v>
                </c:pt>
                <c:pt idx="24">
                  <c:v>2032</c:v>
                </c:pt>
                <c:pt idx="25">
                  <c:v>2033</c:v>
                </c:pt>
                <c:pt idx="26">
                  <c:v>2034</c:v>
                </c:pt>
                <c:pt idx="27">
                  <c:v>2035</c:v>
                </c:pt>
                <c:pt idx="28">
                  <c:v>2036</c:v>
                </c:pt>
                <c:pt idx="29">
                  <c:v>2037</c:v>
                </c:pt>
                <c:pt idx="30">
                  <c:v>2038</c:v>
                </c:pt>
                <c:pt idx="31">
                  <c:v>2039</c:v>
                </c:pt>
                <c:pt idx="32">
                  <c:v>2040</c:v>
                </c:pt>
                <c:pt idx="33">
                  <c:v>2041</c:v>
                </c:pt>
                <c:pt idx="34">
                  <c:v>2042</c:v>
                </c:pt>
                <c:pt idx="35">
                  <c:v>2043</c:v>
                </c:pt>
                <c:pt idx="36">
                  <c:v>2044</c:v>
                </c:pt>
                <c:pt idx="37">
                  <c:v>2045</c:v>
                </c:pt>
                <c:pt idx="38">
                  <c:v>2046</c:v>
                </c:pt>
                <c:pt idx="39">
                  <c:v>2047</c:v>
                </c:pt>
                <c:pt idx="40">
                  <c:v>2048</c:v>
                </c:pt>
                <c:pt idx="41">
                  <c:v>2049</c:v>
                </c:pt>
                <c:pt idx="42">
                  <c:v>2050</c:v>
                </c:pt>
              </c:numCache>
            </c:numRef>
          </c:xVal>
          <c:yVal>
            <c:numRef>
              <c:f>'Complete Diffusion'!$G$23:$G$65</c:f>
              <c:numCache>
                <c:formatCode>General</c:formatCode>
                <c:ptCount val="43"/>
                <c:pt idx="0">
                  <c:v>0</c:v>
                </c:pt>
                <c:pt idx="1">
                  <c:v>110979.95254795758</c:v>
                </c:pt>
                <c:pt idx="2">
                  <c:v>242193.71013005456</c:v>
                </c:pt>
                <c:pt idx="3">
                  <c:v>396443.87652572803</c:v>
                </c:pt>
                <c:pt idx="4">
                  <c:v>576546.61103590834</c:v>
                </c:pt>
                <c:pt idx="5">
                  <c:v>785155.19313546328</c:v>
                </c:pt>
                <c:pt idx="6">
                  <c:v>1024519.6056085643</c:v>
                </c:pt>
                <c:pt idx="7">
                  <c:v>1296183.3566623677</c:v>
                </c:pt>
                <c:pt idx="8">
                  <c:v>1600632.5412038362</c:v>
                </c:pt>
                <c:pt idx="9">
                  <c:v>1936931.4977864912</c:v>
                </c:pt>
                <c:pt idx="10">
                  <c:v>2302401.7272298867</c:v>
                </c:pt>
                <c:pt idx="11" formatCode="#,##0">
                  <c:v>2692419.7537120739</c:v>
                </c:pt>
                <c:pt idx="12">
                  <c:v>3100415.6401921287</c:v>
                </c:pt>
                <c:pt idx="13">
                  <c:v>3518136.5257411413</c:v>
                </c:pt>
                <c:pt idx="14">
                  <c:v>3936193.4198028892</c:v>
                </c:pt>
                <c:pt idx="15">
                  <c:v>4344840.7383813709</c:v>
                </c:pt>
                <c:pt idx="16">
                  <c:v>4734867.1991438735</c:v>
                </c:pt>
                <c:pt idx="17">
                  <c:v>5098432.5518720876</c:v>
                </c:pt>
                <c:pt idx="18">
                  <c:v>5429689.9405495282</c:v>
                </c:pt>
                <c:pt idx="19">
                  <c:v>5725090.4138415931</c:v>
                </c:pt>
                <c:pt idx="20">
                  <c:v>5983351.9037652984</c:v>
                </c:pt>
                <c:pt idx="21">
                  <c:v>6205155.2847856842</c:v>
                </c:pt>
                <c:pt idx="22">
                  <c:v>6392677.2176315784</c:v>
                </c:pt>
                <c:pt idx="23">
                  <c:v>6549075.1796636507</c:v>
                </c:pt>
                <c:pt idx="24">
                  <c:v>6678014.6611679252</c:v>
                </c:pt>
                <c:pt idx="25">
                  <c:v>6783290.2781320736</c:v>
                </c:pt>
                <c:pt idx="26">
                  <c:v>6868557.227314678</c:v>
                </c:pt>
                <c:pt idx="27">
                  <c:v>6937165.1775620542</c:v>
                </c:pt>
                <c:pt idx="28">
                  <c:v>6992074.4081596378</c:v>
                </c:pt>
                <c:pt idx="29">
                  <c:v>7035830.9204097344</c:v>
                </c:pt>
                <c:pt idx="30">
                  <c:v>7070579.5430095885</c:v>
                </c:pt>
                <c:pt idx="31">
                  <c:v>7098098.5856394703</c:v>
                </c:pt>
                <c:pt idx="32">
                  <c:v>7119844.3934732042</c:v>
                </c:pt>
                <c:pt idx="33">
                  <c:v>7136998.2547757328</c:v>
                </c:pt>
                <c:pt idx="34">
                  <c:v>7150511.2140997853</c:v>
                </c:pt>
                <c:pt idx="35">
                  <c:v>7161144.4930067388</c:v>
                </c:pt>
                <c:pt idx="36">
                  <c:v>7169504.6044465145</c:v>
                </c:pt>
                <c:pt idx="37">
                  <c:v>7176073.0739491228</c:v>
                </c:pt>
                <c:pt idx="38">
                  <c:v>7181231.130274999</c:v>
                </c:pt>
                <c:pt idx="39">
                  <c:v>7185279.9369525807</c:v>
                </c:pt>
                <c:pt idx="40">
                  <c:v>7188457.0004324792</c:v>
                </c:pt>
                <c:pt idx="41">
                  <c:v>7190949.3742480977</c:v>
                </c:pt>
                <c:pt idx="42">
                  <c:v>7192904.2218861328</c:v>
                </c:pt>
              </c:numCache>
            </c:numRef>
          </c:yVal>
          <c:smooth val="1"/>
          <c:extLst>
            <c:ext xmlns:c16="http://schemas.microsoft.com/office/drawing/2014/chart" uri="{C3380CC4-5D6E-409C-BE32-E72D297353CC}">
              <c16:uniqueId val="{00000003-2C9F-452F-8D7A-7803F1602C95}"/>
            </c:ext>
          </c:extLst>
        </c:ser>
        <c:dLbls>
          <c:showLegendKey val="0"/>
          <c:showVal val="0"/>
          <c:showCatName val="0"/>
          <c:showSerName val="0"/>
          <c:showPercent val="0"/>
          <c:showBubbleSize val="0"/>
        </c:dLbls>
        <c:axId val="430736896"/>
        <c:axId val="430738816"/>
      </c:scatterChart>
      <c:valAx>
        <c:axId val="430736896"/>
        <c:scaling>
          <c:orientation val="minMax"/>
          <c:max val="2050"/>
          <c:min val="2005"/>
        </c:scaling>
        <c:delete val="0"/>
        <c:axPos val="b"/>
        <c:majorGridlines/>
        <c:title>
          <c:tx>
            <c:rich>
              <a:bodyPr/>
              <a:lstStyle/>
              <a:p>
                <a:pPr>
                  <a:defRPr sz="800"/>
                </a:pPr>
                <a:r>
                  <a:rPr lang="de-DE" sz="800"/>
                  <a:t>Year [a]</a:t>
                </a:r>
              </a:p>
            </c:rich>
          </c:tx>
          <c:layout/>
          <c:overlay val="0"/>
        </c:title>
        <c:numFmt formatCode="General" sourceLinked="1"/>
        <c:majorTickMark val="out"/>
        <c:minorTickMark val="none"/>
        <c:tickLblPos val="nextTo"/>
        <c:crossAx val="430738816"/>
        <c:crosses val="autoZero"/>
        <c:crossBetween val="midCat"/>
      </c:valAx>
      <c:valAx>
        <c:axId val="430738816"/>
        <c:scaling>
          <c:orientation val="minMax"/>
        </c:scaling>
        <c:delete val="0"/>
        <c:axPos val="l"/>
        <c:majorGridlines/>
        <c:title>
          <c:tx>
            <c:rich>
              <a:bodyPr rot="-5400000" vert="horz"/>
              <a:lstStyle/>
              <a:p>
                <a:pPr>
                  <a:defRPr sz="800"/>
                </a:pPr>
                <a:r>
                  <a:rPr lang="de-DE" sz="800"/>
                  <a:t>Number of LEDs [million]</a:t>
                </a:r>
              </a:p>
            </c:rich>
          </c:tx>
          <c:layout>
            <c:manualLayout>
              <c:xMode val="edge"/>
              <c:yMode val="edge"/>
              <c:x val="1.1017629942968583E-2"/>
              <c:y val="0.1189961528781505"/>
            </c:manualLayout>
          </c:layout>
          <c:overlay val="0"/>
        </c:title>
        <c:numFmt formatCode="#,##0" sourceLinked="0"/>
        <c:majorTickMark val="out"/>
        <c:minorTickMark val="none"/>
        <c:tickLblPos val="nextTo"/>
        <c:txPr>
          <a:bodyPr/>
          <a:lstStyle/>
          <a:p>
            <a:pPr>
              <a:defRPr cap="none" baseline="0"/>
            </a:pPr>
            <a:endParaRPr lang="de-DE"/>
          </a:p>
        </c:txPr>
        <c:crossAx val="430736896"/>
        <c:crosses val="autoZero"/>
        <c:crossBetween val="midCat"/>
        <c:dispUnits>
          <c:builtInUnit val="millions"/>
        </c:dispUnits>
      </c:valAx>
    </c:plotArea>
    <c:legend>
      <c:legendPos val="b"/>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de-DE"/>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3352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rma</cp:lastModifiedBy>
  <cp:revision>6</cp:revision>
  <dcterms:created xsi:type="dcterms:W3CDTF">2022-11-23T22:19:00Z</dcterms:created>
  <dcterms:modified xsi:type="dcterms:W3CDTF">2022-11-23T22:44:00Z</dcterms:modified>
</cp:coreProperties>
</file>