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FA8" w14:textId="19ACC2F0" w:rsidR="00E2596F" w:rsidRPr="00A94720" w:rsidRDefault="00EF58FF" w:rsidP="007E6481">
      <w:pPr>
        <w:pStyle w:val="Titel"/>
        <w:rPr>
          <w:lang w:val="de-AT"/>
        </w:rPr>
      </w:pPr>
      <w:r>
        <w:rPr>
          <w:lang w:val="de-AT"/>
        </w:rPr>
        <w:t xml:space="preserve">Abbildung von Wasserstoffinfrastrukturen in Energiesystemmodellen </w:t>
      </w:r>
    </w:p>
    <w:p w14:paraId="1BF7737F" w14:textId="734A3D4A" w:rsidR="00725939" w:rsidRPr="00A94720" w:rsidRDefault="00EF58FF" w:rsidP="007E6481">
      <w:pPr>
        <w:pStyle w:val="Autoren"/>
        <w:rPr>
          <w:lang w:val="de-AT"/>
        </w:rPr>
      </w:pPr>
      <w:r>
        <w:t>Patrick FREITAG</w:t>
      </w:r>
      <w:r w:rsidR="009C35BB">
        <w:rPr>
          <w:vertAlign w:val="superscript"/>
        </w:rPr>
        <w:t>1*</w:t>
      </w:r>
      <w:r>
        <w:t xml:space="preserve">, </w:t>
      </w:r>
      <w:r w:rsidR="007E6481" w:rsidRPr="005D4515">
        <w:t xml:space="preserve">Felix </w:t>
      </w:r>
      <w:r w:rsidR="007E6481" w:rsidRPr="007E6481">
        <w:rPr>
          <w:caps/>
        </w:rPr>
        <w:t>Kullmann</w:t>
      </w:r>
      <w:r w:rsidR="007E6481" w:rsidRPr="005D4515">
        <w:rPr>
          <w:vertAlign w:val="superscript"/>
        </w:rPr>
        <w:t>1</w:t>
      </w:r>
      <w:r w:rsidR="007E6481">
        <w:t xml:space="preserve">, </w:t>
      </w:r>
      <w:r w:rsidR="007E6481" w:rsidRPr="005D4515">
        <w:t xml:space="preserve">Detlef </w:t>
      </w:r>
      <w:r w:rsidR="007E6481" w:rsidRPr="007E6481">
        <w:rPr>
          <w:caps/>
        </w:rPr>
        <w:t>Stolten</w:t>
      </w:r>
      <w:r w:rsidR="007E6481" w:rsidRPr="005D4515">
        <w:rPr>
          <w:vertAlign w:val="superscript"/>
        </w:rPr>
        <w:t>1,2</w:t>
      </w:r>
    </w:p>
    <w:p w14:paraId="7F16957E" w14:textId="0634EB5E" w:rsidR="00725939" w:rsidRDefault="008C6646" w:rsidP="00725939">
      <w:pPr>
        <w:pStyle w:val="berschrift1"/>
        <w:rPr>
          <w:lang w:val="de-AT"/>
        </w:rPr>
      </w:pPr>
      <w:r>
        <w:rPr>
          <w:lang w:val="de-AT"/>
        </w:rPr>
        <w:t>Motivation</w:t>
      </w:r>
    </w:p>
    <w:p w14:paraId="2710EB85" w14:textId="32285DB4" w:rsidR="00EC70D3" w:rsidRDefault="007233C6" w:rsidP="0085420F">
      <w:pPr>
        <w:rPr>
          <w:szCs w:val="20"/>
        </w:rPr>
      </w:pPr>
      <w:r w:rsidRPr="008A799E">
        <w:rPr>
          <w:szCs w:val="20"/>
        </w:rPr>
        <w:t>Energiesystemmodelle</w:t>
      </w:r>
      <w:r w:rsidR="009C35BB">
        <w:rPr>
          <w:szCs w:val="20"/>
        </w:rPr>
        <w:t xml:space="preserve"> können</w:t>
      </w:r>
      <w:r w:rsidRPr="008A799E">
        <w:rPr>
          <w:szCs w:val="20"/>
        </w:rPr>
        <w:t xml:space="preserve"> verwendet</w:t>
      </w:r>
      <w:r w:rsidR="009C35BB" w:rsidRPr="009C35BB">
        <w:rPr>
          <w:szCs w:val="20"/>
        </w:rPr>
        <w:t xml:space="preserve"> </w:t>
      </w:r>
      <w:r w:rsidR="009C35BB" w:rsidRPr="008A799E">
        <w:rPr>
          <w:szCs w:val="20"/>
        </w:rPr>
        <w:t>werden</w:t>
      </w:r>
      <w:r>
        <w:rPr>
          <w:szCs w:val="20"/>
        </w:rPr>
        <w:t>,</w:t>
      </w:r>
      <w:r w:rsidR="009C35BB">
        <w:rPr>
          <w:szCs w:val="20"/>
        </w:rPr>
        <w:t xml:space="preserve"> um</w:t>
      </w:r>
      <w:r>
        <w:rPr>
          <w:lang w:val="de-AT"/>
        </w:rPr>
        <w:t xml:space="preserve"> </w:t>
      </w:r>
      <w:r w:rsidR="00EF58FF" w:rsidRPr="00AD1A06">
        <w:t>Transformationsstrategien</w:t>
      </w:r>
      <w:r>
        <w:t xml:space="preserve"> </w:t>
      </w:r>
      <w:r w:rsidRPr="00AD1A06">
        <w:t>für</w:t>
      </w:r>
      <w:r w:rsidRPr="007233C6">
        <w:rPr>
          <w:szCs w:val="20"/>
        </w:rPr>
        <w:t xml:space="preserve"> </w:t>
      </w:r>
      <w:r w:rsidR="009C35BB">
        <w:rPr>
          <w:szCs w:val="20"/>
        </w:rPr>
        <w:t>eine</w:t>
      </w:r>
      <w:r w:rsidRPr="008A799E">
        <w:rPr>
          <w:szCs w:val="20"/>
        </w:rPr>
        <w:t xml:space="preserve"> Energieversorgung</w:t>
      </w:r>
      <w:r>
        <w:rPr>
          <w:szCs w:val="20"/>
        </w:rPr>
        <w:t xml:space="preserve"> zu berechnen. Dabei steht der Fokus in der Analyse und Bewertung von </w:t>
      </w:r>
      <w:r w:rsidRPr="007233C6">
        <w:rPr>
          <w:szCs w:val="20"/>
        </w:rPr>
        <w:t>Konsequenz</w:t>
      </w:r>
      <w:r>
        <w:rPr>
          <w:szCs w:val="20"/>
        </w:rPr>
        <w:t xml:space="preserve">en exogen vorgegebener </w:t>
      </w:r>
      <w:r w:rsidRPr="008A799E">
        <w:rPr>
          <w:szCs w:val="20"/>
        </w:rPr>
        <w:t>politischer</w:t>
      </w:r>
      <w:r>
        <w:rPr>
          <w:szCs w:val="20"/>
        </w:rPr>
        <w:t xml:space="preserve">, technischer und ökonomischer Randbedingungen [Quelle]. Klar ist, dass unter den gegebenen Treibhausgasreduktionsstrategien, eine </w:t>
      </w:r>
      <w:r w:rsidRPr="007233C6">
        <w:rPr>
          <w:szCs w:val="20"/>
        </w:rPr>
        <w:t>markant</w:t>
      </w:r>
      <w:r>
        <w:rPr>
          <w:szCs w:val="20"/>
        </w:rPr>
        <w:t xml:space="preserve">e Änderung des heutigen Energiesystems notwendig ist, aber in welchem Ausmaß diese stattfindet ist Teil aktueller Forschung. </w:t>
      </w:r>
      <w:r w:rsidR="009C35BB">
        <w:rPr>
          <w:szCs w:val="20"/>
        </w:rPr>
        <w:t xml:space="preserve">Aktuelle </w:t>
      </w:r>
      <w:r>
        <w:rPr>
          <w:szCs w:val="20"/>
        </w:rPr>
        <w:t>Studien</w:t>
      </w:r>
      <w:r w:rsidR="009C35BB">
        <w:rPr>
          <w:szCs w:val="20"/>
        </w:rPr>
        <w:t xml:space="preserve"> zeigen</w:t>
      </w:r>
      <w:r w:rsidR="00CE2E52">
        <w:rPr>
          <w:szCs w:val="20"/>
        </w:rPr>
        <w:t xml:space="preserve"> mit Hilfe von Energiesystemmodellen </w:t>
      </w:r>
      <w:r w:rsidR="009C35BB">
        <w:rPr>
          <w:szCs w:val="20"/>
        </w:rPr>
        <w:t>mögliche</w:t>
      </w:r>
      <w:r>
        <w:rPr>
          <w:szCs w:val="20"/>
        </w:rPr>
        <w:t xml:space="preserve"> </w:t>
      </w:r>
      <w:r w:rsidR="00CE2E52" w:rsidRPr="008A799E">
        <w:rPr>
          <w:szCs w:val="20"/>
        </w:rPr>
        <w:t xml:space="preserve">Transformationspfade </w:t>
      </w:r>
      <w:r w:rsidR="009C35BB">
        <w:rPr>
          <w:szCs w:val="20"/>
        </w:rPr>
        <w:t xml:space="preserve">Deutschlands </w:t>
      </w:r>
      <w:r w:rsidR="00CE2E52">
        <w:rPr>
          <w:szCs w:val="20"/>
        </w:rPr>
        <w:t>zur Treibhausgasneutralität bis zum Jahr 2045 auf</w:t>
      </w:r>
      <w:r w:rsidR="00F02FCE">
        <w:rPr>
          <w:szCs w:val="20"/>
        </w:rPr>
        <w:t xml:space="preserve"> [</w:t>
      </w:r>
      <w:r w:rsidR="00673B32">
        <w:rPr>
          <w:szCs w:val="20"/>
        </w:rPr>
        <w:t>2</w:t>
      </w:r>
      <w:r w:rsidR="00F02FCE">
        <w:rPr>
          <w:szCs w:val="20"/>
        </w:rPr>
        <w:t>]</w:t>
      </w:r>
      <w:r w:rsidR="00CE2E52">
        <w:rPr>
          <w:szCs w:val="20"/>
        </w:rPr>
        <w:t xml:space="preserve">. In diesen Szenarien wird der Hochlauf einer zukünftigen Wasserstoffinfrastruktur entweder gar nicht oder nur </w:t>
      </w:r>
      <w:r w:rsidR="00CE2E52" w:rsidRPr="008A799E">
        <w:rPr>
          <w:szCs w:val="20"/>
        </w:rPr>
        <w:t>unzureichend berücksichtig</w:t>
      </w:r>
      <w:r w:rsidR="00CE2E52">
        <w:rPr>
          <w:szCs w:val="20"/>
        </w:rPr>
        <w:t xml:space="preserve">t. In der Regel findet keine integrale Betrachtung des Energiesystems und der Infrastrukturen statt, sondern nur eine </w:t>
      </w:r>
      <w:r w:rsidR="00CE2E52" w:rsidRPr="00CE2E52">
        <w:rPr>
          <w:szCs w:val="20"/>
        </w:rPr>
        <w:t>sequenzielle</w:t>
      </w:r>
      <w:r w:rsidR="00CE2E52">
        <w:rPr>
          <w:szCs w:val="20"/>
        </w:rPr>
        <w:t xml:space="preserve"> Berechnung. Welche Auswirkungen</w:t>
      </w:r>
      <w:r w:rsidR="00CE2E52" w:rsidRPr="008A799E">
        <w:rPr>
          <w:szCs w:val="20"/>
        </w:rPr>
        <w:t xml:space="preserve"> </w:t>
      </w:r>
      <w:r w:rsidR="00CE2E52">
        <w:rPr>
          <w:szCs w:val="20"/>
        </w:rPr>
        <w:t>eine solche integrale Betrachtung</w:t>
      </w:r>
      <w:r w:rsidR="009C35BB">
        <w:rPr>
          <w:szCs w:val="20"/>
        </w:rPr>
        <w:t xml:space="preserve"> hat,</w:t>
      </w:r>
      <w:r w:rsidR="00CE2E52">
        <w:rPr>
          <w:szCs w:val="20"/>
        </w:rPr>
        <w:t xml:space="preserve"> </w:t>
      </w:r>
      <w:r w:rsidR="00CE2E52" w:rsidRPr="008A799E">
        <w:rPr>
          <w:szCs w:val="20"/>
        </w:rPr>
        <w:t xml:space="preserve">wurde bisher </w:t>
      </w:r>
      <w:r w:rsidR="00CE2E52">
        <w:rPr>
          <w:szCs w:val="20"/>
        </w:rPr>
        <w:t xml:space="preserve">aus </w:t>
      </w:r>
      <w:r w:rsidR="009C35BB">
        <w:rPr>
          <w:szCs w:val="20"/>
        </w:rPr>
        <w:t>K</w:t>
      </w:r>
      <w:r w:rsidR="00CE2E52">
        <w:rPr>
          <w:szCs w:val="20"/>
        </w:rPr>
        <w:t xml:space="preserve">omplexitätsgründen </w:t>
      </w:r>
      <w:r w:rsidR="00CE2E52" w:rsidRPr="008A799E">
        <w:rPr>
          <w:szCs w:val="20"/>
        </w:rPr>
        <w:t xml:space="preserve">nicht </w:t>
      </w:r>
      <w:r w:rsidR="00CE2E52">
        <w:rPr>
          <w:szCs w:val="20"/>
        </w:rPr>
        <w:t xml:space="preserve">untersucht. </w:t>
      </w:r>
      <w:r w:rsidR="00CE2E52" w:rsidRPr="008A799E">
        <w:rPr>
          <w:szCs w:val="20"/>
        </w:rPr>
        <w:t xml:space="preserve">Vor diesem Hintergrund </w:t>
      </w:r>
      <w:r w:rsidR="00CE2E52">
        <w:rPr>
          <w:szCs w:val="20"/>
        </w:rPr>
        <w:t>wird eine Modellkopplung von zwei bestehenden Energiesystemmodellen entwickelt,</w:t>
      </w:r>
      <w:r w:rsidR="0085420F">
        <w:rPr>
          <w:szCs w:val="20"/>
        </w:rPr>
        <w:t xml:space="preserve"> </w:t>
      </w:r>
      <w:r w:rsidR="0085420F" w:rsidRPr="0085420F">
        <w:rPr>
          <w:szCs w:val="20"/>
        </w:rPr>
        <w:t>indem</w:t>
      </w:r>
      <w:r w:rsidR="0085420F">
        <w:rPr>
          <w:szCs w:val="20"/>
        </w:rPr>
        <w:t xml:space="preserve"> </w:t>
      </w:r>
      <w:r w:rsidR="0085420F" w:rsidRPr="0085420F">
        <w:rPr>
          <w:szCs w:val="20"/>
        </w:rPr>
        <w:t xml:space="preserve">entsprechende </w:t>
      </w:r>
      <w:r w:rsidR="0085420F">
        <w:rPr>
          <w:szCs w:val="20"/>
        </w:rPr>
        <w:t>Modellschnittstellen</w:t>
      </w:r>
      <w:r w:rsidR="0085420F" w:rsidRPr="0085420F">
        <w:rPr>
          <w:szCs w:val="20"/>
        </w:rPr>
        <w:t xml:space="preserve"> </w:t>
      </w:r>
      <w:r w:rsidR="0085420F">
        <w:rPr>
          <w:szCs w:val="20"/>
        </w:rPr>
        <w:t>einen Austausch relevanter Daten zur gemeinsamen Berechnung ermöglichen</w:t>
      </w:r>
      <w:r w:rsidR="0085420F" w:rsidRPr="0085420F">
        <w:rPr>
          <w:szCs w:val="20"/>
        </w:rPr>
        <w:t>.</w:t>
      </w:r>
      <w:r w:rsidR="0085420F">
        <w:rPr>
          <w:szCs w:val="20"/>
        </w:rPr>
        <w:t xml:space="preserve"> Mit diesem Ansatz wird es möglich, explizite ausgebaute Wasserstoffinfrastrukturen</w:t>
      </w:r>
      <w:r w:rsidR="00181E8A">
        <w:rPr>
          <w:szCs w:val="20"/>
        </w:rPr>
        <w:t xml:space="preserve"> eines Mehr-Knotenmodells</w:t>
      </w:r>
      <w:r w:rsidR="0085420F">
        <w:rPr>
          <w:szCs w:val="20"/>
        </w:rPr>
        <w:t xml:space="preserve"> in einem </w:t>
      </w:r>
      <w:r w:rsidR="009C35BB">
        <w:rPr>
          <w:szCs w:val="20"/>
        </w:rPr>
        <w:t>Ein</w:t>
      </w:r>
      <w:r w:rsidR="0085420F">
        <w:rPr>
          <w:szCs w:val="20"/>
        </w:rPr>
        <w:t xml:space="preserve">-Knotenenergiesystemmodell zu berücksichtigen und deren Auswirkungen auf den Transformationspfad des gesamten Energiesystems hinsichtlich </w:t>
      </w:r>
      <w:r w:rsidR="009C35BB">
        <w:rPr>
          <w:szCs w:val="20"/>
        </w:rPr>
        <w:t xml:space="preserve">der </w:t>
      </w:r>
      <w:r w:rsidR="0085420F">
        <w:rPr>
          <w:szCs w:val="20"/>
        </w:rPr>
        <w:t xml:space="preserve">Kosten, </w:t>
      </w:r>
      <w:r w:rsidR="009C35BB">
        <w:rPr>
          <w:szCs w:val="20"/>
        </w:rPr>
        <w:t xml:space="preserve">der </w:t>
      </w:r>
      <w:r w:rsidR="0085420F">
        <w:rPr>
          <w:szCs w:val="20"/>
        </w:rPr>
        <w:t xml:space="preserve">Emissionen und </w:t>
      </w:r>
      <w:r w:rsidR="009C35BB">
        <w:rPr>
          <w:szCs w:val="20"/>
        </w:rPr>
        <w:t xml:space="preserve">des </w:t>
      </w:r>
      <w:r w:rsidR="0085420F">
        <w:rPr>
          <w:szCs w:val="20"/>
        </w:rPr>
        <w:t>Energieverbrauch</w:t>
      </w:r>
      <w:r w:rsidR="009C35BB">
        <w:rPr>
          <w:szCs w:val="20"/>
        </w:rPr>
        <w:t>s</w:t>
      </w:r>
      <w:r w:rsidR="0085420F">
        <w:rPr>
          <w:szCs w:val="20"/>
        </w:rPr>
        <w:t xml:space="preserve"> zu analysieren.</w:t>
      </w:r>
    </w:p>
    <w:p w14:paraId="12C215F4" w14:textId="3F226F34" w:rsidR="0085420F" w:rsidRDefault="0085420F" w:rsidP="0085420F">
      <w:pPr>
        <w:rPr>
          <w:szCs w:val="20"/>
        </w:rPr>
      </w:pPr>
      <w:r>
        <w:rPr>
          <w:szCs w:val="20"/>
        </w:rPr>
        <w:t xml:space="preserve"> </w:t>
      </w:r>
    </w:p>
    <w:p w14:paraId="4E623FBD" w14:textId="33E92876" w:rsidR="00725939" w:rsidRPr="00EC70D3" w:rsidRDefault="008C6646" w:rsidP="0085420F">
      <w:pPr>
        <w:rPr>
          <w:b/>
          <w:bCs/>
          <w:sz w:val="24"/>
        </w:rPr>
      </w:pPr>
      <w:r w:rsidRPr="00EC70D3">
        <w:rPr>
          <w:b/>
          <w:bCs/>
          <w:sz w:val="24"/>
          <w:szCs w:val="32"/>
          <w:lang w:val="de-AT"/>
        </w:rPr>
        <w:t>Methodik</w:t>
      </w:r>
    </w:p>
    <w:p w14:paraId="0F2F6115" w14:textId="50BB1EB9" w:rsidR="00714917" w:rsidRDefault="00714917" w:rsidP="007E6481">
      <w:pPr>
        <w:rPr>
          <w:szCs w:val="20"/>
        </w:rPr>
      </w:pPr>
      <w:r>
        <w:rPr>
          <w:szCs w:val="20"/>
        </w:rPr>
        <w:t>Für die Modellkopplung werden dabei das</w:t>
      </w:r>
      <w:r w:rsidR="007E6481" w:rsidRPr="00335179">
        <w:rPr>
          <w:szCs w:val="20"/>
        </w:rPr>
        <w:t xml:space="preserve"> </w:t>
      </w:r>
      <w:r w:rsidR="00335179">
        <w:rPr>
          <w:szCs w:val="20"/>
        </w:rPr>
        <w:t xml:space="preserve">nationale </w:t>
      </w:r>
      <w:r w:rsidR="009373D0">
        <w:rPr>
          <w:szCs w:val="20"/>
        </w:rPr>
        <w:t xml:space="preserve">integrierte </w:t>
      </w:r>
      <w:r w:rsidR="007E6481" w:rsidRPr="00335179">
        <w:rPr>
          <w:szCs w:val="20"/>
        </w:rPr>
        <w:t>Energiesystemmodell</w:t>
      </w:r>
      <w:r w:rsidR="00FB1D1F">
        <w:rPr>
          <w:szCs w:val="20"/>
        </w:rPr>
        <w:t xml:space="preserve"> für Deutschland </w:t>
      </w:r>
      <w:r>
        <w:rPr>
          <w:szCs w:val="20"/>
        </w:rPr>
        <w:t>FINE.</w:t>
      </w:r>
      <w:r w:rsidR="007E6481" w:rsidRPr="00335179">
        <w:rPr>
          <w:szCs w:val="20"/>
        </w:rPr>
        <w:t>NESTOR [</w:t>
      </w:r>
      <w:r w:rsidR="00673B32">
        <w:rPr>
          <w:szCs w:val="20"/>
        </w:rPr>
        <w:t>3</w:t>
      </w:r>
      <w:r w:rsidR="007E6481" w:rsidRPr="00335179">
        <w:rPr>
          <w:szCs w:val="20"/>
        </w:rPr>
        <w:t>]</w:t>
      </w:r>
      <w:r w:rsidR="007E6481" w:rsidRPr="007E6481">
        <w:rPr>
          <w:szCs w:val="20"/>
        </w:rPr>
        <w:t xml:space="preserve"> </w:t>
      </w:r>
      <w:r>
        <w:rPr>
          <w:szCs w:val="20"/>
        </w:rPr>
        <w:t xml:space="preserve">und das </w:t>
      </w:r>
      <w:r w:rsidRPr="00335179">
        <w:rPr>
          <w:szCs w:val="20"/>
        </w:rPr>
        <w:t>Energiesystemmodell</w:t>
      </w:r>
      <w:r w:rsidRPr="00714917">
        <w:rPr>
          <w:szCs w:val="20"/>
        </w:rPr>
        <w:t xml:space="preserve"> </w:t>
      </w:r>
      <w:r>
        <w:rPr>
          <w:szCs w:val="20"/>
        </w:rPr>
        <w:t xml:space="preserve">zur </w:t>
      </w:r>
      <w:r w:rsidRPr="002B5A03">
        <w:rPr>
          <w:rFonts w:cstheme="minorHAnsi"/>
        </w:rPr>
        <w:t>integrierte</w:t>
      </w:r>
      <w:r>
        <w:rPr>
          <w:rFonts w:cstheme="minorHAnsi"/>
        </w:rPr>
        <w:t>n</w:t>
      </w:r>
      <w:r w:rsidR="007E2BDD">
        <w:rPr>
          <w:rFonts w:cstheme="minorHAnsi"/>
        </w:rPr>
        <w:t xml:space="preserve"> deutschen</w:t>
      </w:r>
      <w:r w:rsidRPr="002B5A03">
        <w:rPr>
          <w:rFonts w:cstheme="minorHAnsi"/>
        </w:rPr>
        <w:t xml:space="preserve"> Infrastrukturplanung</w:t>
      </w:r>
      <w:r>
        <w:rPr>
          <w:rFonts w:cstheme="minorHAnsi"/>
        </w:rPr>
        <w:t xml:space="preserve">, </w:t>
      </w:r>
      <w:r>
        <w:rPr>
          <w:szCs w:val="20"/>
        </w:rPr>
        <w:t>FINE.Infrastructure</w:t>
      </w:r>
      <w:r>
        <w:rPr>
          <w:rFonts w:cstheme="minorHAnsi"/>
        </w:rPr>
        <w:t xml:space="preserve"> [</w:t>
      </w:r>
      <w:r w:rsidR="00673B32">
        <w:rPr>
          <w:rFonts w:cstheme="minorHAnsi"/>
        </w:rPr>
        <w:t>4</w:t>
      </w:r>
      <w:r>
        <w:rPr>
          <w:rFonts w:cstheme="minorHAnsi"/>
        </w:rPr>
        <w:t xml:space="preserve">], verwendet. </w:t>
      </w:r>
      <w:r w:rsidR="007E2BDD">
        <w:rPr>
          <w:rFonts w:cstheme="minorHAnsi"/>
        </w:rPr>
        <w:t xml:space="preserve">Dabei werden die Modelle mit einem Hard-Linking-Verfahren miteinander verschaltet, um somit die jeweiligen Vorteile beider Modelle für eine Transformationspfadrechnung nutzen zu können. </w:t>
      </w:r>
    </w:p>
    <w:p w14:paraId="21EC6A36" w14:textId="0375AF16" w:rsidR="00335179" w:rsidRDefault="00EC70D3" w:rsidP="00335179">
      <w:pPr>
        <w:keepNext/>
      </w:pPr>
      <w:r>
        <w:rPr>
          <w:noProof/>
        </w:rPr>
        <w:drawing>
          <wp:inline distT="0" distB="0" distL="0" distR="0" wp14:anchorId="54CA9EE8" wp14:editId="2A493F0C">
            <wp:extent cx="5756910" cy="18205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164E" w14:textId="503A3AEB" w:rsidR="007E6481" w:rsidRPr="008A799E" w:rsidRDefault="00335179" w:rsidP="00335179">
      <w:pPr>
        <w:pStyle w:val="Beschriftung"/>
        <w:jc w:val="both"/>
        <w:rPr>
          <w:sz w:val="20"/>
          <w:szCs w:val="20"/>
        </w:rPr>
      </w:pPr>
      <w:bookmarkStart w:id="0" w:name="_Ref88730487"/>
      <w:r>
        <w:t xml:space="preserve">Abbildung </w:t>
      </w:r>
      <w:fldSimple w:instr=" SEQ Abbildung \* ARABIC ">
        <w:r w:rsidR="00D553E8">
          <w:rPr>
            <w:noProof/>
          </w:rPr>
          <w:t>1</w:t>
        </w:r>
      </w:fldSimple>
      <w:bookmarkEnd w:id="0"/>
      <w:r>
        <w:t xml:space="preserve"> </w:t>
      </w:r>
      <w:r w:rsidR="00EC70D3">
        <w:t>Schematische Modellkopplung zwischen FINE.NESTOR und FINE Infrastructure</w:t>
      </w:r>
    </w:p>
    <w:p w14:paraId="76F26F69" w14:textId="0369E684" w:rsidR="007E6481" w:rsidRDefault="007E6481" w:rsidP="003429DB">
      <w:pPr>
        <w:rPr>
          <w:szCs w:val="20"/>
        </w:rPr>
      </w:pPr>
      <w:r w:rsidRPr="008A799E">
        <w:rPr>
          <w:szCs w:val="20"/>
        </w:rPr>
        <w:t>In</w:t>
      </w:r>
      <w:r w:rsidR="00CE097C">
        <w:rPr>
          <w:szCs w:val="20"/>
        </w:rPr>
        <w:t xml:space="preserve"> einem Referenzszenario</w:t>
      </w:r>
      <w:r w:rsidR="008F005C">
        <w:rPr>
          <w:szCs w:val="20"/>
        </w:rPr>
        <w:t xml:space="preserve"> </w:t>
      </w:r>
      <w:r w:rsidR="003429DB">
        <w:rPr>
          <w:szCs w:val="20"/>
        </w:rPr>
        <w:t xml:space="preserve">(nCNI) </w:t>
      </w:r>
      <w:r w:rsidR="008F005C">
        <w:rPr>
          <w:szCs w:val="20"/>
        </w:rPr>
        <w:t xml:space="preserve">wird zunächst das nicht-gekoppelte Energiesystem von FINE.NESTOR mit einer Strategie zur Treibhausgasneutralität bis zum Jahr 2045 untersucht. In einem weiteren Szenario </w:t>
      </w:r>
      <w:r w:rsidR="003429DB">
        <w:rPr>
          <w:szCs w:val="20"/>
        </w:rPr>
        <w:t xml:space="preserve">(CNI) </w:t>
      </w:r>
      <w:r w:rsidR="008F005C">
        <w:rPr>
          <w:szCs w:val="20"/>
        </w:rPr>
        <w:t xml:space="preserve">wird </w:t>
      </w:r>
      <w:r w:rsidR="006055AF">
        <w:rPr>
          <w:szCs w:val="20"/>
        </w:rPr>
        <w:t>nachfolgend</w:t>
      </w:r>
      <w:r w:rsidR="008F005C">
        <w:rPr>
          <w:szCs w:val="20"/>
        </w:rPr>
        <w:t xml:space="preserve"> das gekoppelte Energiesystem von FINE.NESTOR und FINE.Infrastructure </w:t>
      </w:r>
      <w:r w:rsidR="00523716">
        <w:rPr>
          <w:szCs w:val="20"/>
        </w:rPr>
        <w:t xml:space="preserve">mit den gleichen Randbedingungen für beide Modelle berechnet. </w:t>
      </w:r>
      <w:r w:rsidR="003429DB">
        <w:rPr>
          <w:szCs w:val="20"/>
        </w:rPr>
        <w:t xml:space="preserve">Die beiden </w:t>
      </w:r>
      <w:r w:rsidR="003429DB">
        <w:rPr>
          <w:szCs w:val="20"/>
        </w:rPr>
        <w:lastRenderedPageBreak/>
        <w:t xml:space="preserve">Szenarien werden im Anschluss verglichen, um die Auswirkungen der expliziten Infrastrukturberücksichtigung in FINE.NESTOR zu bewerten. </w:t>
      </w:r>
    </w:p>
    <w:p w14:paraId="10BCF607" w14:textId="77777777" w:rsidR="00716B49" w:rsidRDefault="00716B49" w:rsidP="003429DB">
      <w:pPr>
        <w:rPr>
          <w:szCs w:val="20"/>
        </w:rPr>
      </w:pPr>
    </w:p>
    <w:p w14:paraId="0F5D8180" w14:textId="633930E0" w:rsidR="00CE097C" w:rsidRDefault="00CE097C" w:rsidP="00CE097C">
      <w:pPr>
        <w:pStyle w:val="berschrift1"/>
      </w:pPr>
      <w:r>
        <w:t>Ergebnisse</w:t>
      </w:r>
    </w:p>
    <w:p w14:paraId="55F8DF5F" w14:textId="77777777" w:rsidR="0087248D" w:rsidRDefault="00F461C8" w:rsidP="003F5F6C">
      <w:pPr>
        <w:rPr>
          <w:szCs w:val="20"/>
        </w:rPr>
      </w:pPr>
      <w:r>
        <w:rPr>
          <w:szCs w:val="20"/>
        </w:rPr>
        <w:t>Der Vergleich der</w:t>
      </w:r>
      <w:r w:rsidR="003F5F6C" w:rsidRPr="008A799E">
        <w:rPr>
          <w:szCs w:val="20"/>
        </w:rPr>
        <w:t xml:space="preserve"> Szenarien </w:t>
      </w:r>
      <w:r w:rsidR="003429DB">
        <w:rPr>
          <w:szCs w:val="20"/>
        </w:rPr>
        <w:t xml:space="preserve">nCNI </w:t>
      </w:r>
      <w:r w:rsidR="003F5F6C" w:rsidRPr="008A799E">
        <w:rPr>
          <w:szCs w:val="20"/>
        </w:rPr>
        <w:t xml:space="preserve">und </w:t>
      </w:r>
      <w:r w:rsidR="003429DB">
        <w:rPr>
          <w:szCs w:val="20"/>
        </w:rPr>
        <w:t xml:space="preserve">CNI </w:t>
      </w:r>
      <w:r w:rsidR="003F5F6C" w:rsidRPr="008A799E">
        <w:rPr>
          <w:szCs w:val="20"/>
        </w:rPr>
        <w:t>veranschaulich</w:t>
      </w:r>
      <w:r>
        <w:rPr>
          <w:szCs w:val="20"/>
        </w:rPr>
        <w:t>t</w:t>
      </w:r>
      <w:r w:rsidR="003F5F6C" w:rsidRPr="008A799E">
        <w:rPr>
          <w:szCs w:val="20"/>
        </w:rPr>
        <w:t xml:space="preserve"> die Auswirkungen von </w:t>
      </w:r>
      <w:r w:rsidR="003429DB">
        <w:rPr>
          <w:szCs w:val="20"/>
        </w:rPr>
        <w:t>expliziter Infrastrukturberücksichtigung auf die Entwicklung des Transformationspfades in alle</w:t>
      </w:r>
      <w:r>
        <w:rPr>
          <w:szCs w:val="20"/>
        </w:rPr>
        <w:t>n</w:t>
      </w:r>
      <w:r w:rsidR="003429DB">
        <w:rPr>
          <w:szCs w:val="20"/>
        </w:rPr>
        <w:t xml:space="preserve"> Sektoren des Energiesystems. </w:t>
      </w:r>
      <w:r>
        <w:rPr>
          <w:szCs w:val="20"/>
        </w:rPr>
        <w:t xml:space="preserve">In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_Ref88730846 \h </w:instrText>
      </w:r>
      <w:r>
        <w:rPr>
          <w:szCs w:val="20"/>
        </w:rPr>
      </w:r>
      <w:r>
        <w:rPr>
          <w:szCs w:val="20"/>
        </w:rPr>
        <w:fldChar w:fldCharType="separate"/>
      </w:r>
      <w:r>
        <w:t xml:space="preserve">Abbildung </w:t>
      </w:r>
      <w:r>
        <w:rPr>
          <w:noProof/>
        </w:rPr>
        <w:t>2</w:t>
      </w:r>
      <w:r>
        <w:rPr>
          <w:szCs w:val="20"/>
        </w:rPr>
        <w:fldChar w:fldCharType="end"/>
      </w:r>
      <w:r w:rsidR="001D4AEE">
        <w:rPr>
          <w:szCs w:val="20"/>
        </w:rPr>
        <w:t xml:space="preserve"> ist dafür die sektorale Wasserstoffnachfrage für das Zieljahr 2045 dargestellt. Mit der iterativen Modellkopplung steigt die Wasserstoffnachfrage um circa 1</w:t>
      </w:r>
      <w:r w:rsidR="00400D12">
        <w:rPr>
          <w:szCs w:val="20"/>
        </w:rPr>
        <w:t>75</w:t>
      </w:r>
      <w:r w:rsidR="001D4AEE">
        <w:rPr>
          <w:szCs w:val="20"/>
        </w:rPr>
        <w:t xml:space="preserve"> TWh.</w:t>
      </w:r>
    </w:p>
    <w:p w14:paraId="07308D03" w14:textId="07D3733F" w:rsidR="003429DB" w:rsidRDefault="001D4AEE" w:rsidP="003F5F6C">
      <w:pPr>
        <w:rPr>
          <w:szCs w:val="20"/>
        </w:rPr>
      </w:pPr>
      <w:r>
        <w:rPr>
          <w:szCs w:val="20"/>
        </w:rPr>
        <w:t xml:space="preserve"> </w:t>
      </w:r>
    </w:p>
    <w:p w14:paraId="4D0F70FE" w14:textId="6FC18805" w:rsidR="00CE097C" w:rsidRDefault="00400D12" w:rsidP="00E771F4">
      <w:r>
        <w:rPr>
          <w:noProof/>
        </w:rPr>
        <w:drawing>
          <wp:inline distT="0" distB="0" distL="0" distR="0" wp14:anchorId="09F16049" wp14:editId="43AABAF7">
            <wp:extent cx="5760720" cy="2642260"/>
            <wp:effectExtent l="0" t="0" r="11430" b="571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AB24147F-8F6F-4416-900F-3D484EF1FF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45AAA9" w14:textId="0DA0E3BC" w:rsidR="008C6646" w:rsidRPr="008A799E" w:rsidRDefault="00CE097C" w:rsidP="00CE097C">
      <w:pPr>
        <w:pStyle w:val="Beschriftung"/>
        <w:jc w:val="both"/>
        <w:rPr>
          <w:b/>
          <w:sz w:val="22"/>
          <w:szCs w:val="32"/>
        </w:rPr>
      </w:pPr>
      <w:bookmarkStart w:id="1" w:name="_Ref88730846"/>
      <w:r>
        <w:t xml:space="preserve">Abbildung </w:t>
      </w:r>
      <w:fldSimple w:instr=" SEQ Abbildung \* ARABIC ">
        <w:r w:rsidR="00D553E8">
          <w:rPr>
            <w:noProof/>
          </w:rPr>
          <w:t>2</w:t>
        </w:r>
      </w:fldSimple>
      <w:bookmarkEnd w:id="1"/>
      <w:r>
        <w:t xml:space="preserve"> </w:t>
      </w:r>
      <w:r w:rsidR="00400D12">
        <w:t xml:space="preserve">Sektorale Wasserstoffnachfragenachfragen des </w:t>
      </w:r>
      <w:r w:rsidR="00400D12">
        <w:rPr>
          <w:szCs w:val="20"/>
        </w:rPr>
        <w:t>CNI- und nCNI-Szenarios für Deutschland</w:t>
      </w:r>
    </w:p>
    <w:p w14:paraId="49A91843" w14:textId="68FCCC5B" w:rsidR="00E771F4" w:rsidRDefault="007E6481" w:rsidP="00FB1D1F">
      <w:pPr>
        <w:rPr>
          <w:szCs w:val="20"/>
        </w:rPr>
      </w:pPr>
      <w:r w:rsidRPr="008A799E">
        <w:rPr>
          <w:szCs w:val="20"/>
        </w:rPr>
        <w:t>Die größte Veränderung ist bei der Wasserstoff</w:t>
      </w:r>
      <w:r w:rsidR="009C35BB">
        <w:rPr>
          <w:szCs w:val="20"/>
        </w:rPr>
        <w:t>nachfrage</w:t>
      </w:r>
      <w:r w:rsidR="0019654C">
        <w:rPr>
          <w:szCs w:val="20"/>
        </w:rPr>
        <w:t xml:space="preserve"> ist im Indust</w:t>
      </w:r>
      <w:r w:rsidR="009C35BB">
        <w:rPr>
          <w:szCs w:val="20"/>
        </w:rPr>
        <w:t>r</w:t>
      </w:r>
      <w:r w:rsidR="0019654C">
        <w:rPr>
          <w:szCs w:val="20"/>
        </w:rPr>
        <w:t>iesektor</w:t>
      </w:r>
      <w:r w:rsidRPr="008A799E">
        <w:rPr>
          <w:szCs w:val="20"/>
        </w:rPr>
        <w:t xml:space="preserve"> zu beobachten.</w:t>
      </w:r>
      <w:r w:rsidR="0019654C">
        <w:rPr>
          <w:szCs w:val="20"/>
        </w:rPr>
        <w:t xml:space="preserve"> Im Jahr 2045 benötigt der Industriesektor</w:t>
      </w:r>
      <w:r w:rsidR="009C35BB">
        <w:rPr>
          <w:szCs w:val="20"/>
        </w:rPr>
        <w:t xml:space="preserve"> im Kopplungsszenarios CNI </w:t>
      </w:r>
      <w:r w:rsidR="0019654C">
        <w:rPr>
          <w:szCs w:val="20"/>
        </w:rPr>
        <w:t xml:space="preserve">circa 158 TWh mehr Wasserstoff. Dies ist auf </w:t>
      </w:r>
      <w:r w:rsidR="009C35BB">
        <w:rPr>
          <w:szCs w:val="20"/>
        </w:rPr>
        <w:t>die ver</w:t>
      </w:r>
      <w:r w:rsidR="0019654C">
        <w:rPr>
          <w:szCs w:val="20"/>
        </w:rPr>
        <w:t>änderten Kosten der Wasserstoffleitungen zurückzuführen,</w:t>
      </w:r>
      <w:r w:rsidR="009C35BB">
        <w:rPr>
          <w:szCs w:val="20"/>
        </w:rPr>
        <w:t xml:space="preserve"> die aus dem in FINE.Infrastructure </w:t>
      </w:r>
      <w:r w:rsidR="009C35BB" w:rsidRPr="009C35BB">
        <w:rPr>
          <w:szCs w:val="20"/>
        </w:rPr>
        <w:t>explizit ausgebauten Wasserstoffnetz abgeleitet werden</w:t>
      </w:r>
      <w:r w:rsidR="009C35BB">
        <w:rPr>
          <w:szCs w:val="20"/>
        </w:rPr>
        <w:t>.</w:t>
      </w:r>
      <w:r w:rsidR="00562574">
        <w:rPr>
          <w:szCs w:val="20"/>
        </w:rPr>
        <w:t xml:space="preserve"> </w:t>
      </w:r>
      <w:r w:rsidR="0019654C">
        <w:rPr>
          <w:szCs w:val="20"/>
        </w:rPr>
        <w:t>Dadurch werden andere Energieträger im Kopplungsszenario durch Wasserstoff substituiert, was wiederrum Änderungen auf die anderen Sektoren des Energiesystems bewirkt.</w:t>
      </w:r>
      <w:r w:rsidR="00716B49">
        <w:rPr>
          <w:szCs w:val="20"/>
        </w:rPr>
        <w:t xml:space="preserve"> Wasserstoff spielt bei der Transformation des heutigen Energiesystems eine tragende Rolle für die Energiewende und dessen Transportinfrastruktur </w:t>
      </w:r>
      <w:r w:rsidR="00716B49" w:rsidRPr="00FB1D1F">
        <w:rPr>
          <w:szCs w:val="20"/>
        </w:rPr>
        <w:t>sollte</w:t>
      </w:r>
      <w:r w:rsidR="00716B49">
        <w:rPr>
          <w:szCs w:val="20"/>
        </w:rPr>
        <w:t xml:space="preserve"> in computergestützten Optimierungen stärker berücksichtigt werden. </w:t>
      </w:r>
      <w:r w:rsidR="00716B49" w:rsidRPr="00FB1D1F">
        <w:rPr>
          <w:szCs w:val="20"/>
        </w:rPr>
        <w:t>D</w:t>
      </w:r>
      <w:r w:rsidR="00716B49">
        <w:rPr>
          <w:szCs w:val="20"/>
        </w:rPr>
        <w:t>ie Ergebnisse verdeutlichen darüber hinaus, dass d</w:t>
      </w:r>
      <w:r w:rsidR="00716B49" w:rsidRPr="00FB1D1F">
        <w:rPr>
          <w:szCs w:val="20"/>
        </w:rPr>
        <w:t xml:space="preserve">er </w:t>
      </w:r>
      <w:r w:rsidR="00716B49">
        <w:rPr>
          <w:szCs w:val="20"/>
        </w:rPr>
        <w:t>Modellkopplungsansatz</w:t>
      </w:r>
      <w:r w:rsidR="00716B49" w:rsidRPr="00FB1D1F">
        <w:rPr>
          <w:szCs w:val="20"/>
        </w:rPr>
        <w:t xml:space="preserve"> geeignet</w:t>
      </w:r>
      <w:r w:rsidR="00716B49">
        <w:rPr>
          <w:szCs w:val="20"/>
        </w:rPr>
        <w:t xml:space="preserve"> ist</w:t>
      </w:r>
      <w:r w:rsidR="00716B49" w:rsidRPr="00FB1D1F">
        <w:rPr>
          <w:szCs w:val="20"/>
        </w:rPr>
        <w:t xml:space="preserve">, um Aussagen </w:t>
      </w:r>
      <w:r w:rsidR="00716B49">
        <w:rPr>
          <w:szCs w:val="20"/>
        </w:rPr>
        <w:t>hinsichtlich des Wasserstoffbedarfs</w:t>
      </w:r>
      <w:r w:rsidR="009C35BB">
        <w:rPr>
          <w:szCs w:val="20"/>
        </w:rPr>
        <w:t xml:space="preserve"> im</w:t>
      </w:r>
      <w:r w:rsidR="00716B49">
        <w:rPr>
          <w:szCs w:val="20"/>
        </w:rPr>
        <w:t xml:space="preserve"> </w:t>
      </w:r>
      <w:r w:rsidR="00716B49" w:rsidRPr="00716B49">
        <w:rPr>
          <w:szCs w:val="20"/>
        </w:rPr>
        <w:t>Rahmen von Treibhausgasminderungsstrategien</w:t>
      </w:r>
      <w:r w:rsidR="009C35BB">
        <w:rPr>
          <w:szCs w:val="20"/>
        </w:rPr>
        <w:t xml:space="preserve"> für Deutschland</w:t>
      </w:r>
      <w:r w:rsidR="0087248D">
        <w:rPr>
          <w:szCs w:val="20"/>
        </w:rPr>
        <w:t xml:space="preserve"> und</w:t>
      </w:r>
      <w:r w:rsidR="009C35BB">
        <w:rPr>
          <w:szCs w:val="20"/>
        </w:rPr>
        <w:t xml:space="preserve"> den benötigten</w:t>
      </w:r>
      <w:r w:rsidR="0087248D">
        <w:rPr>
          <w:szCs w:val="20"/>
        </w:rPr>
        <w:t xml:space="preserve"> Infrastrukturausbau</w:t>
      </w:r>
      <w:r w:rsidR="00716B49" w:rsidRPr="00716B49">
        <w:rPr>
          <w:szCs w:val="20"/>
        </w:rPr>
        <w:t xml:space="preserve"> zu treffen.</w:t>
      </w:r>
    </w:p>
    <w:p w14:paraId="6B4E32AD" w14:textId="77777777" w:rsidR="00E771F4" w:rsidRDefault="00E771F4" w:rsidP="00FB1D1F">
      <w:pPr>
        <w:rPr>
          <w:szCs w:val="20"/>
        </w:rPr>
      </w:pPr>
    </w:p>
    <w:p w14:paraId="27F52668" w14:textId="6C2664D2" w:rsidR="00FB1D1F" w:rsidRPr="00673B32" w:rsidRDefault="0035089C" w:rsidP="00FB1D1F">
      <w:pPr>
        <w:pStyle w:val="CitaviBibliographyHeading"/>
      </w:pPr>
      <w:r w:rsidRPr="00673B32">
        <w:t>Referenzen</w:t>
      </w:r>
    </w:p>
    <w:p w14:paraId="1123C331" w14:textId="42576136" w:rsidR="00673B32" w:rsidRPr="00673B32" w:rsidRDefault="00673B32" w:rsidP="00673B32">
      <w:pPr>
        <w:pStyle w:val="CitaviBibliographyEntry"/>
      </w:pPr>
      <w:r w:rsidRPr="00673B32">
        <w:t>[1]</w:t>
      </w:r>
      <w:r w:rsidRPr="00673B32">
        <w:tab/>
      </w:r>
      <w:bookmarkStart w:id="2" w:name="_CTVL0018b2bbaa1fbf3432a8edbf6eb80d585fd"/>
      <w:r w:rsidR="00486498">
        <w:t>Remme U</w:t>
      </w:r>
      <w:r w:rsidRPr="00673B32">
        <w:t>.</w:t>
      </w:r>
      <w:r w:rsidR="00486498">
        <w:t xml:space="preserve"> Energy Technology Perspectives 2010 The role of energy scenarios and modell</w:t>
      </w:r>
      <w:r w:rsidR="00371680">
        <w:t>i</w:t>
      </w:r>
      <w:r w:rsidR="00486498">
        <w:t>ng</w:t>
      </w:r>
      <w:r w:rsidR="00371680">
        <w:t>; Energieszenarien KIT Scientific Publishing 2011</w:t>
      </w:r>
    </w:p>
    <w:bookmarkEnd w:id="2"/>
    <w:p w14:paraId="2403FA55" w14:textId="31EF56CE" w:rsidR="00673B32" w:rsidRPr="00673B32" w:rsidRDefault="00673B32" w:rsidP="00673B32">
      <w:pPr>
        <w:pStyle w:val="CitaviBibliographyEntry"/>
      </w:pPr>
      <w:r w:rsidRPr="00673B32">
        <w:t>[2]</w:t>
      </w:r>
      <w:r w:rsidRPr="00673B32">
        <w:tab/>
      </w:r>
      <w:bookmarkStart w:id="3" w:name="_CTVL0014172c3fe78ec4513a1c94bc00b7e4b53"/>
      <w:r>
        <w:t xml:space="preserve">Lübbers S, Wünsch M, Lovis M, </w:t>
      </w:r>
      <w:r w:rsidRPr="00673B32">
        <w:t>Wagner</w:t>
      </w:r>
      <w:r>
        <w:t xml:space="preserve"> J, </w:t>
      </w:r>
      <w:r w:rsidRPr="00673B32">
        <w:t>Sensfuß</w:t>
      </w:r>
      <w:r>
        <w:t xml:space="preserve"> F, </w:t>
      </w:r>
      <w:r w:rsidRPr="00673B32">
        <w:t>Luderer</w:t>
      </w:r>
      <w:r>
        <w:t xml:space="preserve"> G, </w:t>
      </w:r>
      <w:r w:rsidRPr="00673B32">
        <w:t>Bartels</w:t>
      </w:r>
      <w:r>
        <w:t xml:space="preserve"> F. </w:t>
      </w:r>
      <w:r w:rsidRPr="00673B32">
        <w:t>Vergleich der „Big 5“</w:t>
      </w:r>
      <w:r>
        <w:t xml:space="preserve"> </w:t>
      </w:r>
      <w:r w:rsidRPr="00673B32">
        <w:t xml:space="preserve">Klimaneutralitätsszenarien. </w:t>
      </w:r>
      <w:r w:rsidR="0010066C" w:rsidRPr="0010066C">
        <w:t>16.03.2022</w:t>
      </w:r>
    </w:p>
    <w:bookmarkEnd w:id="3"/>
    <w:p w14:paraId="47A745F3" w14:textId="0F1F47AF" w:rsidR="00673B32" w:rsidRPr="00673B32" w:rsidRDefault="00673B32" w:rsidP="00673B32">
      <w:pPr>
        <w:pStyle w:val="CitaviBibliographyEntry"/>
      </w:pPr>
      <w:r w:rsidRPr="00673B32">
        <w:t>[3]</w:t>
      </w:r>
      <w:r w:rsidRPr="00673B32">
        <w:tab/>
      </w:r>
      <w:bookmarkStart w:id="4" w:name="_CTVL0011234c0c8a7e24161ad269b8e281c1f0e"/>
      <w:r w:rsidRPr="00673B32">
        <w:t>Lopion, Markewitz, Stolten, Robinius. Cost Uncertainties in Energy System Optimization Models: A Quadratic Programming Approach for Avoiding Penny Switching Effects. Energies 2019;12(20):4006.</w:t>
      </w:r>
    </w:p>
    <w:bookmarkEnd w:id="4"/>
    <w:p w14:paraId="24E5226D" w14:textId="65F931C0" w:rsidR="007E6481" w:rsidRPr="00673B32" w:rsidRDefault="00673B32" w:rsidP="00673B32">
      <w:pPr>
        <w:pStyle w:val="CitaviBibliographyEntry"/>
      </w:pPr>
      <w:r w:rsidRPr="00673B32">
        <w:t>[</w:t>
      </w:r>
      <w:r>
        <w:t>4</w:t>
      </w:r>
      <w:r w:rsidRPr="00673B32">
        <w:t>]</w:t>
      </w:r>
      <w:r w:rsidRPr="00673B32">
        <w:tab/>
      </w:r>
      <w:r w:rsidR="00C02A48" w:rsidRPr="00C02A48">
        <w:t>Stolten, D</w:t>
      </w:r>
      <w:r w:rsidR="00C02A48">
        <w:t xml:space="preserve"> et al</w:t>
      </w:r>
      <w:r>
        <w:t xml:space="preserve">. </w:t>
      </w:r>
      <w:r w:rsidR="00C02A48" w:rsidRPr="00C02A48">
        <w:t>Neue Ziele auf alten Wegen? Strategien für eine treibhausgasneutrale Energieversorgung bis zum Jahr 2045</w:t>
      </w:r>
      <w:r w:rsidR="00C02A48">
        <w:t xml:space="preserve">; </w:t>
      </w:r>
      <w:r w:rsidR="00C02A48">
        <w:rPr>
          <w:sz w:val="21"/>
          <w:szCs w:val="21"/>
        </w:rPr>
        <w:t>Energie &amp; Umwelt</w:t>
      </w:r>
      <w:r w:rsidR="00C02A48">
        <w:rPr>
          <w:sz w:val="21"/>
          <w:szCs w:val="21"/>
        </w:rPr>
        <w:t xml:space="preserve"> </w:t>
      </w:r>
      <w:r w:rsidR="00C02A48">
        <w:rPr>
          <w:sz w:val="21"/>
          <w:szCs w:val="21"/>
        </w:rPr>
        <w:t>Band</w:t>
      </w:r>
      <w:r w:rsidR="00C02A48">
        <w:rPr>
          <w:sz w:val="21"/>
          <w:szCs w:val="21"/>
        </w:rPr>
        <w:t xml:space="preserve"> 577</w:t>
      </w:r>
    </w:p>
    <w:sectPr w:rsidR="007E6481" w:rsidRPr="00673B32" w:rsidSect="003E3FFD">
      <w:head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997F" w14:textId="77777777" w:rsidR="008579FF" w:rsidRDefault="008579FF">
      <w:pPr>
        <w:spacing w:after="0" w:line="240" w:lineRule="auto"/>
      </w:pPr>
      <w:r>
        <w:separator/>
      </w:r>
    </w:p>
  </w:endnote>
  <w:endnote w:type="continuationSeparator" w:id="0">
    <w:p w14:paraId="40AEF2C3" w14:textId="77777777" w:rsidR="008579FF" w:rsidRDefault="008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FE03" w14:textId="77777777" w:rsidR="003E3FFD" w:rsidRPr="003E3FFD" w:rsidRDefault="003E3FFD" w:rsidP="003E3FFD">
    <w:pPr>
      <w:spacing w:line="240" w:lineRule="auto"/>
      <w:rPr>
        <w:sz w:val="18"/>
        <w:szCs w:val="22"/>
      </w:rPr>
    </w:pPr>
    <w:r w:rsidRPr="003E3FFD">
      <w:rPr>
        <w:sz w:val="18"/>
        <w:szCs w:val="22"/>
        <w:vertAlign w:val="superscript"/>
      </w:rPr>
      <w:t xml:space="preserve">1 </w:t>
    </w:r>
    <w:r w:rsidRPr="003E3FFD">
      <w:rPr>
        <w:sz w:val="18"/>
        <w:szCs w:val="22"/>
      </w:rPr>
      <w:t>Institut für Energie- und Klimaforschung, Technoökonomische Systemanalyse (IEK-3) Forschungszentrum Jülich GmbH, Wilhelm-Johnen-Str., 52428 Jülich, Deutschland</w:t>
    </w:r>
  </w:p>
  <w:p w14:paraId="72DE909A" w14:textId="77777777" w:rsidR="003E3FFD" w:rsidRPr="003E3FFD" w:rsidRDefault="003E3FFD" w:rsidP="003E3FFD">
    <w:pPr>
      <w:spacing w:line="240" w:lineRule="auto"/>
      <w:rPr>
        <w:sz w:val="18"/>
        <w:szCs w:val="22"/>
      </w:rPr>
    </w:pPr>
    <w:r w:rsidRPr="003E3FFD">
      <w:rPr>
        <w:sz w:val="18"/>
        <w:szCs w:val="22"/>
        <w:vertAlign w:val="superscript"/>
      </w:rPr>
      <w:t xml:space="preserve">2 </w:t>
    </w:r>
    <w:r w:rsidRPr="003E3FFD">
      <w:rPr>
        <w:sz w:val="18"/>
        <w:szCs w:val="22"/>
      </w:rPr>
      <w:t>Lehrstuhl für Brennstoffzellen, RWTH Aachen University, c/o Institut für Energie- und Klimaforschung, Technoökonomische Systemanalyse (IEK-3) Forschungszentrum Jülich GmbH, Wilhelm-Johnen-Str., 52428 Jülich, Deutschland</w:t>
    </w:r>
  </w:p>
  <w:p w14:paraId="424ED11F" w14:textId="44B6827A" w:rsidR="003E3FFD" w:rsidRPr="003E3FFD" w:rsidRDefault="003E3FFD" w:rsidP="003E3FFD">
    <w:pPr>
      <w:spacing w:line="240" w:lineRule="auto"/>
      <w:rPr>
        <w:sz w:val="18"/>
        <w:szCs w:val="22"/>
      </w:rPr>
    </w:pPr>
    <w:r w:rsidRPr="003E3FFD">
      <w:rPr>
        <w:sz w:val="18"/>
        <w:szCs w:val="22"/>
        <w:vertAlign w:val="superscript"/>
      </w:rPr>
      <w:t xml:space="preserve">* </w:t>
    </w:r>
    <w:r w:rsidR="00EF58FF">
      <w:rPr>
        <w:sz w:val="18"/>
        <w:szCs w:val="22"/>
      </w:rPr>
      <w:t>korrespondierender A</w:t>
    </w:r>
    <w:r w:rsidRPr="003E3FFD">
      <w:rPr>
        <w:sz w:val="18"/>
        <w:szCs w:val="22"/>
      </w:rPr>
      <w:t xml:space="preserve">utor. E-Mail-Adresse: </w:t>
    </w:r>
    <w:r w:rsidR="00EF58FF">
      <w:rPr>
        <w:sz w:val="18"/>
        <w:szCs w:val="22"/>
      </w:rPr>
      <w:t>pa.freitag</w:t>
    </w:r>
    <w:r w:rsidRPr="003E3FFD">
      <w:rPr>
        <w:sz w:val="18"/>
        <w:szCs w:val="22"/>
      </w:rPr>
      <w:t>@fz-juelich.de (</w:t>
    </w:r>
    <w:r w:rsidR="00EF58FF">
      <w:rPr>
        <w:sz w:val="18"/>
        <w:szCs w:val="22"/>
      </w:rPr>
      <w:t>P</w:t>
    </w:r>
    <w:r w:rsidRPr="003E3FFD">
      <w:rPr>
        <w:sz w:val="18"/>
        <w:szCs w:val="22"/>
      </w:rPr>
      <w:t xml:space="preserve">. </w:t>
    </w:r>
    <w:r w:rsidR="00EF58FF">
      <w:rPr>
        <w:sz w:val="18"/>
        <w:szCs w:val="22"/>
      </w:rPr>
      <w:t>Freitag</w:t>
    </w:r>
    <w:r w:rsidRPr="003E3FFD">
      <w:rPr>
        <w:sz w:val="18"/>
        <w:szCs w:val="22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2400" w14:textId="77777777" w:rsidR="008579FF" w:rsidRDefault="008579FF">
      <w:pPr>
        <w:spacing w:after="0" w:line="240" w:lineRule="auto"/>
      </w:pPr>
      <w:r>
        <w:separator/>
      </w:r>
    </w:p>
  </w:footnote>
  <w:footnote w:type="continuationSeparator" w:id="0">
    <w:p w14:paraId="508E1F8F" w14:textId="77777777" w:rsidR="008579FF" w:rsidRDefault="008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DB2A" w14:textId="57FD2710" w:rsidR="00E97C16" w:rsidRPr="00E97C16" w:rsidRDefault="002C3733" w:rsidP="00EC70D3">
    <w:pPr>
      <w:pStyle w:val="Kopfzeile"/>
      <w:tabs>
        <w:tab w:val="right" w:pos="9000"/>
      </w:tabs>
      <w:jc w:val="left"/>
      <w:rPr>
        <w:u w:val="single"/>
      </w:rPr>
    </w:pPr>
    <w:r w:rsidRPr="002C3733">
      <w:rPr>
        <w:u w:val="single"/>
      </w:rPr>
      <w:t>13. Internationale Energiewirtschaftstagung</w:t>
    </w:r>
    <w:r w:rsidR="00E97C16">
      <w:rPr>
        <w:u w:val="single"/>
      </w:rPr>
      <w:t xml:space="preserve">, </w:t>
    </w:r>
    <w:r>
      <w:rPr>
        <w:u w:val="single"/>
      </w:rPr>
      <w:t xml:space="preserve">Februar </w:t>
    </w:r>
    <w:r w:rsidR="00EC70D3">
      <w:rPr>
        <w:u w:val="single"/>
      </w:rPr>
      <w:t>2023</w:t>
    </w:r>
    <w:r w:rsidR="00E97C16" w:rsidRPr="0035186B">
      <w:rPr>
        <w:u w:val="single"/>
      </w:rPr>
      <w:t>,</w:t>
    </w:r>
    <w:r>
      <w:rPr>
        <w:u w:val="single"/>
      </w:rPr>
      <w:t xml:space="preserve"> </w:t>
    </w:r>
    <w:r w:rsidR="00EC70D3" w:rsidRPr="00EC70D3">
      <w:rPr>
        <w:u w:val="single"/>
      </w:rPr>
      <w:t>Vienna</w:t>
    </w:r>
    <w:r w:rsidR="00E97C16" w:rsidRPr="0035186B">
      <w:rPr>
        <w:u w:val="single"/>
      </w:rPr>
      <w:t>/Austria</w:t>
    </w:r>
    <w:r w:rsidR="00E97C16"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57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D3DB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1D7D00"/>
    <w:multiLevelType w:val="hybridMultilevel"/>
    <w:tmpl w:val="E3CED3E6"/>
    <w:lvl w:ilvl="0" w:tplc="9B34B07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2A56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D4D70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968CB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1E2EE6"/>
    <w:multiLevelType w:val="hybridMultilevel"/>
    <w:tmpl w:val="FC12C4D6"/>
    <w:lvl w:ilvl="0" w:tplc="BCF6C3AE">
      <w:start w:val="1"/>
      <w:numFmt w:val="decimal"/>
      <w:pStyle w:val="Referenzen"/>
      <w:lvlText w:val="[%1]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518"/>
    <w:multiLevelType w:val="hybridMultilevel"/>
    <w:tmpl w:val="EFDED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526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623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355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972B1"/>
    <w:multiLevelType w:val="hybridMultilevel"/>
    <w:tmpl w:val="739494F4"/>
    <w:lvl w:ilvl="0" w:tplc="F48410C0">
      <w:start w:val="1"/>
      <w:numFmt w:val="decimal"/>
      <w:pStyle w:val="Nummerierung"/>
      <w:lvlText w:val="%1)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76679419">
    <w:abstractNumId w:val="9"/>
  </w:num>
  <w:num w:numId="2" w16cid:durableId="545798153">
    <w:abstractNumId w:val="10"/>
  </w:num>
  <w:num w:numId="3" w16cid:durableId="876627866">
    <w:abstractNumId w:val="7"/>
  </w:num>
  <w:num w:numId="4" w16cid:durableId="1244530258">
    <w:abstractNumId w:val="0"/>
  </w:num>
  <w:num w:numId="5" w16cid:durableId="1492915722">
    <w:abstractNumId w:val="5"/>
  </w:num>
  <w:num w:numId="6" w16cid:durableId="1815947261">
    <w:abstractNumId w:val="8"/>
  </w:num>
  <w:num w:numId="7" w16cid:durableId="444662192">
    <w:abstractNumId w:val="11"/>
  </w:num>
  <w:num w:numId="8" w16cid:durableId="233518073">
    <w:abstractNumId w:val="2"/>
  </w:num>
  <w:num w:numId="9" w16cid:durableId="267085992">
    <w:abstractNumId w:val="13"/>
  </w:num>
  <w:num w:numId="10" w16cid:durableId="2014330289">
    <w:abstractNumId w:val="13"/>
    <w:lvlOverride w:ilvl="0">
      <w:startOverride w:val="1"/>
    </w:lvlOverride>
  </w:num>
  <w:num w:numId="11" w16cid:durableId="1551961109">
    <w:abstractNumId w:val="1"/>
  </w:num>
  <w:num w:numId="12" w16cid:durableId="868689466">
    <w:abstractNumId w:val="12"/>
  </w:num>
  <w:num w:numId="13" w16cid:durableId="2051763360">
    <w:abstractNumId w:val="3"/>
  </w:num>
  <w:num w:numId="14" w16cid:durableId="89355167">
    <w:abstractNumId w:val="4"/>
  </w:num>
  <w:num w:numId="15" w16cid:durableId="1414206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00519C"/>
    <w:rsid w:val="0000732E"/>
    <w:rsid w:val="0004543C"/>
    <w:rsid w:val="00065155"/>
    <w:rsid w:val="000863A4"/>
    <w:rsid w:val="000B4906"/>
    <w:rsid w:val="0010066C"/>
    <w:rsid w:val="0010270A"/>
    <w:rsid w:val="00181E8A"/>
    <w:rsid w:val="0019654C"/>
    <w:rsid w:val="001D4AEE"/>
    <w:rsid w:val="001E21A6"/>
    <w:rsid w:val="002C3733"/>
    <w:rsid w:val="002F75D4"/>
    <w:rsid w:val="00301AF1"/>
    <w:rsid w:val="00314204"/>
    <w:rsid w:val="00323988"/>
    <w:rsid w:val="00324C5E"/>
    <w:rsid w:val="00335179"/>
    <w:rsid w:val="003429DB"/>
    <w:rsid w:val="0035089C"/>
    <w:rsid w:val="00371680"/>
    <w:rsid w:val="003C5FF0"/>
    <w:rsid w:val="003C7986"/>
    <w:rsid w:val="003E3FFD"/>
    <w:rsid w:val="003F5F6C"/>
    <w:rsid w:val="00400D12"/>
    <w:rsid w:val="0044527B"/>
    <w:rsid w:val="00466D3F"/>
    <w:rsid w:val="00486498"/>
    <w:rsid w:val="004A672C"/>
    <w:rsid w:val="004D3393"/>
    <w:rsid w:val="00523716"/>
    <w:rsid w:val="00562574"/>
    <w:rsid w:val="005F4D5D"/>
    <w:rsid w:val="006055AF"/>
    <w:rsid w:val="00673B32"/>
    <w:rsid w:val="006A0390"/>
    <w:rsid w:val="00714917"/>
    <w:rsid w:val="00716B49"/>
    <w:rsid w:val="007233C6"/>
    <w:rsid w:val="00725939"/>
    <w:rsid w:val="00783F16"/>
    <w:rsid w:val="007B6F14"/>
    <w:rsid w:val="007E2BDD"/>
    <w:rsid w:val="007E6481"/>
    <w:rsid w:val="0085420F"/>
    <w:rsid w:val="00856002"/>
    <w:rsid w:val="008569DE"/>
    <w:rsid w:val="008579FF"/>
    <w:rsid w:val="00864093"/>
    <w:rsid w:val="00867A6E"/>
    <w:rsid w:val="0087248D"/>
    <w:rsid w:val="00894767"/>
    <w:rsid w:val="008C6646"/>
    <w:rsid w:val="008D136D"/>
    <w:rsid w:val="008F005C"/>
    <w:rsid w:val="00915AB6"/>
    <w:rsid w:val="009373D0"/>
    <w:rsid w:val="009C35BB"/>
    <w:rsid w:val="00A56F4E"/>
    <w:rsid w:val="00A85F83"/>
    <w:rsid w:val="00A94720"/>
    <w:rsid w:val="00A96944"/>
    <w:rsid w:val="00B37655"/>
    <w:rsid w:val="00B95049"/>
    <w:rsid w:val="00BB6E45"/>
    <w:rsid w:val="00C02A48"/>
    <w:rsid w:val="00C86197"/>
    <w:rsid w:val="00CC02F5"/>
    <w:rsid w:val="00CE0576"/>
    <w:rsid w:val="00CE097C"/>
    <w:rsid w:val="00CE2E52"/>
    <w:rsid w:val="00D553E8"/>
    <w:rsid w:val="00DB21AB"/>
    <w:rsid w:val="00E2596F"/>
    <w:rsid w:val="00E460F9"/>
    <w:rsid w:val="00E771F4"/>
    <w:rsid w:val="00E97C16"/>
    <w:rsid w:val="00EC70D3"/>
    <w:rsid w:val="00EF58FF"/>
    <w:rsid w:val="00EF5932"/>
    <w:rsid w:val="00F02FCE"/>
    <w:rsid w:val="00F461C8"/>
    <w:rsid w:val="00F5079A"/>
    <w:rsid w:val="00F8673A"/>
    <w:rsid w:val="00FB1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F700A"/>
  <w14:defaultImageDpi w14:val="33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43C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6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6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64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64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64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64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zen">
    <w:name w:val="Referenzen"/>
    <w:basedOn w:val="Listenabsatz"/>
    <w:qFormat/>
    <w:rsid w:val="00C86197"/>
    <w:pPr>
      <w:numPr>
        <w:numId w:val="15"/>
      </w:numPr>
      <w:ind w:left="811" w:hanging="454"/>
    </w:pPr>
    <w:rPr>
      <w:lang w:val="de-AT"/>
    </w:rPr>
  </w:style>
  <w:style w:type="paragraph" w:customStyle="1" w:styleId="Autoren">
    <w:name w:val="Autoren"/>
    <w:basedOn w:val="Standard"/>
    <w:qFormat/>
    <w:rsid w:val="00EF0B55"/>
    <w:pPr>
      <w:jc w:val="center"/>
    </w:pPr>
    <w:rPr>
      <w:b/>
      <w:sz w:val="24"/>
    </w:rPr>
  </w:style>
  <w:style w:type="paragraph" w:styleId="Funotentext">
    <w:name w:val="footnote text"/>
    <w:basedOn w:val="Standard"/>
    <w:semiHidden/>
    <w:qFormat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E0576"/>
    <w:pPr>
      <w:numPr>
        <w:numId w:val="8"/>
      </w:numPr>
      <w:ind w:left="1003" w:hanging="357"/>
      <w:contextualSpacing/>
      <w:jc w:val="left"/>
    </w:pPr>
  </w:style>
  <w:style w:type="paragraph" w:customStyle="1" w:styleId="Nummerierung">
    <w:name w:val="Nummerierung"/>
    <w:basedOn w:val="Listenabsatz"/>
    <w:qFormat/>
    <w:rsid w:val="00CE0576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B6E45"/>
    <w:pPr>
      <w:spacing w:after="24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45"/>
    <w:rPr>
      <w:rFonts w:ascii="Arial" w:eastAsiaTheme="majorEastAsia" w:hAnsi="Arial" w:cstheme="majorBidi"/>
      <w:b/>
      <w:smallCaps/>
      <w:spacing w:val="-10"/>
      <w:kern w:val="28"/>
      <w:sz w:val="3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E4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de-AT" w:eastAsia="de-AT"/>
    </w:rPr>
  </w:style>
  <w:style w:type="paragraph" w:customStyle="1" w:styleId="Organisation">
    <w:name w:val="Organisation"/>
    <w:basedOn w:val="Funotentext"/>
    <w:rsid w:val="00314204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BB6E45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C02F5"/>
    <w:pPr>
      <w:spacing w:after="200" w:line="240" w:lineRule="auto"/>
      <w:jc w:val="left"/>
    </w:pPr>
    <w:rPr>
      <w:i/>
      <w:iCs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F1"/>
    <w:rPr>
      <w:rFonts w:ascii="Arial" w:hAnsi="Arial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7E6481"/>
    <w:pPr>
      <w:tabs>
        <w:tab w:val="left" w:pos="454"/>
      </w:tabs>
      <w:spacing w:after="0"/>
      <w:ind w:left="454" w:hanging="454"/>
      <w:jc w:val="left"/>
    </w:pPr>
    <w:rPr>
      <w:rFonts w:cs="Arial"/>
    </w:rPr>
  </w:style>
  <w:style w:type="character" w:customStyle="1" w:styleId="berschrift2Zchn">
    <w:name w:val="Überschrift 2 Zchn"/>
    <w:basedOn w:val="Absatz-Standardschriftart"/>
    <w:link w:val="berschrift2"/>
    <w:rsid w:val="007E6481"/>
    <w:rPr>
      <w:rFonts w:ascii="Arial" w:hAnsi="Arial" w:cs="Arial"/>
      <w:b/>
      <w:bCs/>
      <w:i/>
      <w:iCs/>
      <w:szCs w:val="28"/>
    </w:rPr>
  </w:style>
  <w:style w:type="character" w:customStyle="1" w:styleId="CitaviBibliographyEntryZchn">
    <w:name w:val="Citavi Bibliography Entry Zchn"/>
    <w:basedOn w:val="berschrift2Zchn"/>
    <w:link w:val="CitaviBibliographyEntry"/>
    <w:uiPriority w:val="99"/>
    <w:rsid w:val="007E6481"/>
    <w:rPr>
      <w:rFonts w:ascii="Arial" w:hAnsi="Arial" w:cs="Arial"/>
      <w:b w:val="0"/>
      <w:bCs w:val="0"/>
      <w:i w:val="0"/>
      <w:iCs w:val="0"/>
      <w:szCs w:val="24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7E6481"/>
    <w:pPr>
      <w:jc w:val="left"/>
    </w:pPr>
  </w:style>
  <w:style w:type="character" w:customStyle="1" w:styleId="CitaviBibliographyHeadingZchn">
    <w:name w:val="Citavi Bibliography Heading Zchn"/>
    <w:basedOn w:val="berschrift2Zchn"/>
    <w:link w:val="CitaviBibliographyHeading"/>
    <w:uiPriority w:val="99"/>
    <w:rsid w:val="007E6481"/>
    <w:rPr>
      <w:rFonts w:ascii="Arial" w:hAnsi="Arial" w:cs="Arial"/>
      <w:b/>
      <w:bCs/>
      <w:i w:val="0"/>
      <w:iCs w:val="0"/>
      <w:kern w:val="32"/>
      <w:sz w:val="24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7E6481"/>
    <w:pPr>
      <w:jc w:val="left"/>
    </w:pPr>
  </w:style>
  <w:style w:type="character" w:customStyle="1" w:styleId="CitaviChapterBibliographyHeadingZchn">
    <w:name w:val="Citavi Chapter Bibliography Heading Zchn"/>
    <w:basedOn w:val="berschrift2Zchn"/>
    <w:link w:val="CitaviChapterBibliographyHeading"/>
    <w:uiPriority w:val="99"/>
    <w:rsid w:val="007E6481"/>
    <w:rPr>
      <w:rFonts w:ascii="Arial" w:hAnsi="Arial" w:cs="Arial"/>
      <w:b/>
      <w:bCs/>
      <w:i/>
      <w:iCs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1Zchn">
    <w:name w:val="Citavi Bibliography Subheading 1 Zchn"/>
    <w:basedOn w:val="berschrift2Zchn"/>
    <w:link w:val="CitaviBibliographySubheading1"/>
    <w:uiPriority w:val="99"/>
    <w:rsid w:val="007E6481"/>
    <w:rPr>
      <w:rFonts w:ascii="Arial" w:hAnsi="Arial" w:cs="Arial"/>
      <w:b/>
      <w:bCs/>
      <w:i/>
      <w:iCs/>
      <w:szCs w:val="28"/>
      <w:lang w:val="de-AT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2Zchn">
    <w:name w:val="Citavi Bibliography Subheading 2 Zchn"/>
    <w:basedOn w:val="berschrift2Zchn"/>
    <w:link w:val="CitaviBibliographySubheading2"/>
    <w:uiPriority w:val="99"/>
    <w:rsid w:val="007E6481"/>
    <w:rPr>
      <w:rFonts w:ascii="Arial" w:hAnsi="Arial" w:cs="Arial"/>
      <w:b/>
      <w:bCs/>
      <w:i w:val="0"/>
      <w:iCs w:val="0"/>
      <w:sz w:val="22"/>
      <w:szCs w:val="26"/>
      <w:lang w:val="de-AT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3Zchn">
    <w:name w:val="Citavi Bibliography Subheading 3 Zchn"/>
    <w:basedOn w:val="berschrift2Zchn"/>
    <w:link w:val="CitaviBibliographySubheading3"/>
    <w:uiPriority w:val="99"/>
    <w:rsid w:val="007E6481"/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648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4Zchn">
    <w:name w:val="Citavi Bibliography Subheading 4 Zchn"/>
    <w:basedOn w:val="berschrift2Zchn"/>
    <w:link w:val="CitaviBibliographySubheading4"/>
    <w:uiPriority w:val="99"/>
    <w:rsid w:val="007E6481"/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648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5Zchn">
    <w:name w:val="Citavi Bibliography Subheading 5 Zchn"/>
    <w:basedOn w:val="berschrift2Zchn"/>
    <w:link w:val="CitaviBibliographySubheading5"/>
    <w:uiPriority w:val="99"/>
    <w:rsid w:val="007E6481"/>
    <w:rPr>
      <w:rFonts w:asciiTheme="majorHAnsi" w:eastAsiaTheme="majorEastAsia" w:hAnsiTheme="majorHAnsi" w:cstheme="majorBidi"/>
      <w:b w:val="0"/>
      <w:bCs w:val="0"/>
      <w:i w:val="0"/>
      <w:iCs w:val="0"/>
      <w:color w:val="243F60" w:themeColor="accent1" w:themeShade="7F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648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6Zchn">
    <w:name w:val="Citavi Bibliography Subheading 6 Zchn"/>
    <w:basedOn w:val="berschrift2Zchn"/>
    <w:link w:val="CitaviBibliographySubheading6"/>
    <w:uiPriority w:val="99"/>
    <w:rsid w:val="007E6481"/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Cs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648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7Zchn">
    <w:name w:val="Citavi Bibliography Subheading 7 Zchn"/>
    <w:basedOn w:val="berschrift2Zchn"/>
    <w:link w:val="CitaviBibliographySubheading7"/>
    <w:uiPriority w:val="99"/>
    <w:rsid w:val="007E6481"/>
    <w:rPr>
      <w:rFonts w:asciiTheme="majorHAnsi" w:eastAsiaTheme="majorEastAsia" w:hAnsiTheme="majorHAnsi" w:cstheme="majorBidi"/>
      <w:b w:val="0"/>
      <w:bCs w:val="0"/>
      <w:i w:val="0"/>
      <w:iCs w:val="0"/>
      <w:color w:val="272727" w:themeColor="text1" w:themeTint="D8"/>
      <w:sz w:val="21"/>
      <w:szCs w:val="21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64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7E6481"/>
    <w:pPr>
      <w:jc w:val="left"/>
      <w:outlineLvl w:val="9"/>
    </w:pPr>
    <w:rPr>
      <w:lang w:val="de-AT"/>
    </w:rPr>
  </w:style>
  <w:style w:type="character" w:customStyle="1" w:styleId="CitaviBibliographySubheading8Zchn">
    <w:name w:val="Citavi Bibliography Subheading 8 Zchn"/>
    <w:basedOn w:val="berschrift2Zchn"/>
    <w:link w:val="CitaviBibliographySubheading8"/>
    <w:uiPriority w:val="99"/>
    <w:rsid w:val="007E6481"/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64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E6481"/>
    <w:rPr>
      <w:color w:val="808080"/>
    </w:rPr>
  </w:style>
  <w:style w:type="paragraph" w:styleId="berarbeitung">
    <w:name w:val="Revision"/>
    <w:hidden/>
    <w:uiPriority w:val="99"/>
    <w:semiHidden/>
    <w:rsid w:val="00F8673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.freitag\Desktop\Diss_fitstHardLink\Targetyear_noTSA_Iteration\HardLink_TagetYear_noTSA_Iteration_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sz="10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Sektorale Wasserstoffnachfrage </a:t>
            </a:r>
            <a:endParaRPr lang="de-DE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4270264828007609"/>
          <c:y val="0.11974050588512047"/>
          <c:w val="0.81465094640947655"/>
          <c:h val="0.68820284547677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Hydrogen!$B$9</c:f>
              <c:strCache>
                <c:ptCount val="1"/>
                <c:pt idx="0">
                  <c:v>Referenzszenario (nCNI)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Hydrogen!$A$25:$A$28</c:f>
              <c:strCache>
                <c:ptCount val="4"/>
                <c:pt idx="0">
                  <c:v>Umwandlung</c:v>
                </c:pt>
                <c:pt idx="1">
                  <c:v>Gebäude+GHD</c:v>
                </c:pt>
                <c:pt idx="2">
                  <c:v>Industrie</c:v>
                </c:pt>
                <c:pt idx="3">
                  <c:v>Verkehr</c:v>
                </c:pt>
              </c:strCache>
            </c:strRef>
          </c:cat>
          <c:val>
            <c:numRef>
              <c:f>Hydrogen!$B$25:$B$28</c:f>
              <c:numCache>
                <c:formatCode>General</c:formatCode>
                <c:ptCount val="4"/>
                <c:pt idx="0">
                  <c:v>104.06570511318245</c:v>
                </c:pt>
                <c:pt idx="1">
                  <c:v>9.9554203912679355</c:v>
                </c:pt>
                <c:pt idx="2">
                  <c:v>228.86958491650589</c:v>
                </c:pt>
                <c:pt idx="3">
                  <c:v>101.0150107032765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F-4E43-BC01-E76EBF810439}"/>
            </c:ext>
          </c:extLst>
        </c:ser>
        <c:ser>
          <c:idx val="2"/>
          <c:order val="2"/>
          <c:tx>
            <c:strRef>
              <c:f>Hydrogen!$D$9</c:f>
              <c:strCache>
                <c:ptCount val="1"/>
                <c:pt idx="0">
                  <c:v>Kopplungsszcenario (CNI)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Hydrogen!$A$25:$A$28</c:f>
              <c:strCache>
                <c:ptCount val="4"/>
                <c:pt idx="0">
                  <c:v>Umwandlung</c:v>
                </c:pt>
                <c:pt idx="1">
                  <c:v>Gebäude+GHD</c:v>
                </c:pt>
                <c:pt idx="2">
                  <c:v>Industrie</c:v>
                </c:pt>
                <c:pt idx="3">
                  <c:v>Verkehr</c:v>
                </c:pt>
              </c:strCache>
            </c:strRef>
          </c:cat>
          <c:val>
            <c:numRef>
              <c:f>Hydrogen!$D$25:$D$28</c:f>
              <c:numCache>
                <c:formatCode>General</c:formatCode>
                <c:ptCount val="4"/>
                <c:pt idx="0">
                  <c:v>111.71976019348854</c:v>
                </c:pt>
                <c:pt idx="1">
                  <c:v>13.182901919751773</c:v>
                </c:pt>
                <c:pt idx="2">
                  <c:v>386.23307121060856</c:v>
                </c:pt>
                <c:pt idx="3">
                  <c:v>107.00304060835977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F-4E43-BC01-E76EBF810439}"/>
            </c:ext>
          </c:extLst>
        </c:ser>
        <c:ser>
          <c:idx val="3"/>
          <c:order val="3"/>
          <c:tx>
            <c:strRef>
              <c:f>Hydrogen!$E$9</c:f>
              <c:strCache>
                <c:ptCount val="1"/>
                <c:pt idx="0">
                  <c:v>Änderung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Hydrogen!$A$25:$A$28</c:f>
              <c:strCache>
                <c:ptCount val="4"/>
                <c:pt idx="0">
                  <c:v>Umwandlung</c:v>
                </c:pt>
                <c:pt idx="1">
                  <c:v>Gebäude+GHD</c:v>
                </c:pt>
                <c:pt idx="2">
                  <c:v>Industrie</c:v>
                </c:pt>
                <c:pt idx="3">
                  <c:v>Verkehr</c:v>
                </c:pt>
              </c:strCache>
            </c:strRef>
          </c:cat>
          <c:val>
            <c:numRef>
              <c:f>Hydrogen!$E$25:$E$28</c:f>
              <c:numCache>
                <c:formatCode>General</c:formatCode>
                <c:ptCount val="4"/>
                <c:pt idx="0">
                  <c:v>7.6540550803060938</c:v>
                </c:pt>
                <c:pt idx="1">
                  <c:v>3.2274815284838372</c:v>
                </c:pt>
                <c:pt idx="2">
                  <c:v>157.36348629410267</c:v>
                </c:pt>
                <c:pt idx="3">
                  <c:v>5.9880299050832662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F-4E43-BC01-E76EBF810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995631"/>
        <c:axId val="654003119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Hydrogen!$C$9</c15:sqref>
                        </c15:formulaRef>
                      </c:ext>
                    </c:extLst>
                    <c:strCache>
                      <c:ptCount val="1"/>
                      <c:pt idx="0">
                        <c:v>Coupling Iteration 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Hydrogen!$A$25:$A$28</c15:sqref>
                        </c15:formulaRef>
                      </c:ext>
                    </c:extLst>
                    <c:strCache>
                      <c:ptCount val="4"/>
                      <c:pt idx="0">
                        <c:v>Umwandlung</c:v>
                      </c:pt>
                      <c:pt idx="1">
                        <c:v>Gebäude+GHD</c:v>
                      </c:pt>
                      <c:pt idx="2">
                        <c:v>Industrie</c:v>
                      </c:pt>
                      <c:pt idx="3">
                        <c:v>Verkehr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Hydrogen!$C$25:$C$28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111.71977689425448</c:v>
                      </c:pt>
                      <c:pt idx="1">
                        <c:v>13.182872144013437</c:v>
                      </c:pt>
                      <c:pt idx="2">
                        <c:v>386.2332939179372</c:v>
                      </c:pt>
                      <c:pt idx="3">
                        <c:v>107.00304566688557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9AF-4E43-BC01-E76EBF810439}"/>
                  </c:ext>
                </c:extLst>
              </c15:ser>
            </c15:filteredBarSeries>
          </c:ext>
        </c:extLst>
      </c:barChart>
      <c:catAx>
        <c:axId val="653995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54003119"/>
        <c:crosses val="autoZero"/>
        <c:auto val="1"/>
        <c:lblAlgn val="ctr"/>
        <c:lblOffset val="100"/>
        <c:noMultiLvlLbl val="0"/>
      </c:catAx>
      <c:valAx>
        <c:axId val="654003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 sz="10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Jährliche Wasserstoffnachfrage in TWh</a:t>
                </a:r>
                <a:endParaRPr lang="de-DE" sz="1000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5848510237625124E-2"/>
              <c:y val="9.770368381795749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53995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E64F594-476C-42E9-9B30-2543297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Kullmann, Felix</dc:creator>
  <cp:keywords/>
  <dc:description/>
  <cp:lastModifiedBy>Freitag, Patrick</cp:lastModifiedBy>
  <cp:revision>18</cp:revision>
  <cp:lastPrinted>2021-11-26T13:12:00Z</cp:lastPrinted>
  <dcterms:created xsi:type="dcterms:W3CDTF">2021-11-26T13:44:00Z</dcterms:created>
  <dcterms:modified xsi:type="dcterms:W3CDTF">2022-11-10T15:33:00Z</dcterms:modified>
</cp:coreProperties>
</file>