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1A21" w14:textId="1CC0CDDE" w:rsidR="005E4D4F" w:rsidRPr="00BA747A" w:rsidRDefault="00BA747A" w:rsidP="005E4D4F">
      <w:pPr>
        <w:pStyle w:val="Abstract-Titel"/>
      </w:pPr>
      <w:r w:rsidRPr="00BA747A">
        <w:t xml:space="preserve">Mittelfristige Mobilisierung deutscher Erzeugungskapazität im europäischen </w:t>
      </w:r>
      <w:r>
        <w:t>Kontext</w:t>
      </w:r>
    </w:p>
    <w:p w14:paraId="47B52241" w14:textId="4BD19530" w:rsidR="00BF05FA" w:rsidRDefault="00BF05FA" w:rsidP="00A156E4">
      <w:pPr>
        <w:pStyle w:val="AutorenOrganisation"/>
      </w:pPr>
      <w:r>
        <w:t>Themenbereich</w:t>
      </w:r>
      <w:r w:rsidR="00BA747A">
        <w:t xml:space="preserve"> (1)</w:t>
      </w:r>
      <w:r w:rsidR="00071E30">
        <w:t>: Energie-/Klimapolitik, Versorgungssicherheit</w:t>
      </w:r>
    </w:p>
    <w:p w14:paraId="0AEFEF48" w14:textId="77236D91" w:rsidR="005E4D4F" w:rsidRPr="00D4600E" w:rsidRDefault="00BA747A" w:rsidP="00A156E4">
      <w:pPr>
        <w:pStyle w:val="AutorenOrganisation"/>
      </w:pPr>
      <w:r>
        <w:t>Lukas Maximilian LANG</w:t>
      </w:r>
      <w:r w:rsidR="005E4D4F" w:rsidRPr="00010E92">
        <w:rPr>
          <w:vertAlign w:val="superscript"/>
        </w:rPr>
        <w:footnoteReference w:id="1"/>
      </w:r>
      <w:r w:rsidR="00A156E4" w:rsidRPr="00A156E4">
        <w:rPr>
          <w:vertAlign w:val="superscript"/>
        </w:rPr>
        <w:t>(1</w:t>
      </w:r>
      <w:r w:rsidR="00A156E4">
        <w:rPr>
          <w:vertAlign w:val="superscript"/>
        </w:rPr>
        <w:t>)</w:t>
      </w:r>
      <w:r w:rsidR="000327D6" w:rsidRPr="004035CF">
        <w:rPr>
          <w:sz w:val="20"/>
        </w:rPr>
        <w:t xml:space="preserve">, </w:t>
      </w:r>
      <w:r w:rsidR="000327D6" w:rsidRPr="00D4600E">
        <w:t xml:space="preserve">Jonas </w:t>
      </w:r>
      <w:r w:rsidR="004035CF" w:rsidRPr="00D4600E">
        <w:t>EGERER</w:t>
      </w:r>
      <w:r w:rsidR="000327D6" w:rsidRPr="00D4600E">
        <w:rPr>
          <w:vertAlign w:val="superscript"/>
        </w:rPr>
        <w:t>(1)</w:t>
      </w:r>
      <w:r w:rsidR="000327D6" w:rsidRPr="00D4600E">
        <w:t xml:space="preserve">, Veronika </w:t>
      </w:r>
      <w:r w:rsidR="004035CF" w:rsidRPr="00D4600E">
        <w:t>GRIMM</w:t>
      </w:r>
      <w:r w:rsidR="000327D6" w:rsidRPr="00D4600E">
        <w:rPr>
          <w:vertAlign w:val="superscript"/>
        </w:rPr>
        <w:t>(1)</w:t>
      </w:r>
      <w:r w:rsidR="000327D6" w:rsidRPr="00D4600E">
        <w:t xml:space="preserve">, Ulrike </w:t>
      </w:r>
      <w:r w:rsidR="004035CF" w:rsidRPr="00D4600E">
        <w:t>PFEFFERER</w:t>
      </w:r>
      <w:r w:rsidR="000327D6" w:rsidRPr="00D4600E">
        <w:rPr>
          <w:vertAlign w:val="superscript"/>
        </w:rPr>
        <w:t>(1)</w:t>
      </w:r>
      <w:r w:rsidR="000327D6" w:rsidRPr="00D4600E">
        <w:t xml:space="preserve">, Christian </w:t>
      </w:r>
      <w:r w:rsidR="004035CF" w:rsidRPr="00D4600E">
        <w:t>SÖLCH</w:t>
      </w:r>
      <w:r w:rsidR="000327D6" w:rsidRPr="00D4600E">
        <w:rPr>
          <w:vertAlign w:val="superscript"/>
        </w:rPr>
        <w:t>(1)</w:t>
      </w:r>
    </w:p>
    <w:p w14:paraId="31BB6490" w14:textId="0FA8C987"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BA747A">
        <w:rPr>
          <w:vertAlign w:val="superscript"/>
        </w:rPr>
        <w:t xml:space="preserve"> </w:t>
      </w:r>
      <w:r w:rsidR="00BA747A">
        <w:t>Friedrich-Alexander-Universität Erlangen-Nürnberg</w:t>
      </w:r>
    </w:p>
    <w:p w14:paraId="7D0DC61F" w14:textId="77777777" w:rsidR="00A07737" w:rsidRPr="005E4D4F" w:rsidRDefault="00A07737" w:rsidP="00FB69AE">
      <w:pPr>
        <w:rPr>
          <w:lang w:val="de-AT"/>
        </w:rPr>
      </w:pPr>
    </w:p>
    <w:p w14:paraId="14767CFD" w14:textId="77777777" w:rsidR="005E4D4F" w:rsidRPr="005E4D4F" w:rsidRDefault="005E4D4F" w:rsidP="005E4D4F">
      <w:pPr>
        <w:pStyle w:val="Ueberschrift"/>
      </w:pPr>
      <w:r w:rsidRPr="005E4D4F">
        <w:t>Motivation und zentrale Fragestellung</w:t>
      </w:r>
    </w:p>
    <w:p w14:paraId="1BA7815B" w14:textId="414C54BF" w:rsidR="00227125" w:rsidRDefault="00071E30" w:rsidP="00071E30">
      <w:r>
        <w:t xml:space="preserve">Die aktuelle Energiekrise zwingt Deutschland und die </w:t>
      </w:r>
      <w:r w:rsidR="00305EB9">
        <w:t xml:space="preserve">anderen </w:t>
      </w:r>
      <w:r>
        <w:t>Mitgliedsstaaten der europäischen Union zu einer Neubewertung und Anpassung der energiepolitischen Entscheidungen. So rückt die Notwendigkeit des Ausbaus erneuerbarer Energien mehr in den Fokus, jedoch werden auch Pläne zur Stilllegung von Kohlekraft- und Atomkraftwerken überdacht. Der Konferenzbeitrag soll für die mittlere Frist, d.h. die Jahre 2027 und 2030, verschiedene energiepolitische Handlungsoptionen bzgl. des deutschen Erzeugungsparks</w:t>
      </w:r>
      <w:r w:rsidR="008D1419">
        <w:t>, nämlich einen ambitionierten Ausbau erneuerbarer Erzeugung, eine Mobilis</w:t>
      </w:r>
      <w:r w:rsidR="004035CF">
        <w:t>ierung von Kohle- und Atomkraft</w:t>
      </w:r>
      <w:r w:rsidR="008D1419">
        <w:t xml:space="preserve"> sowie einen möglichen </w:t>
      </w:r>
      <w:r w:rsidR="000E3FF4">
        <w:t xml:space="preserve">kompletten </w:t>
      </w:r>
      <w:r w:rsidR="008D1419">
        <w:t>Kohleausstieg 2030,</w:t>
      </w:r>
      <w:r>
        <w:t xml:space="preserve"> analysieren</w:t>
      </w:r>
      <w:r w:rsidR="000E3FF4">
        <w:t xml:space="preserve"> und bewerten</w:t>
      </w:r>
      <w:r>
        <w:t xml:space="preserve">. </w:t>
      </w:r>
      <w:r w:rsidR="00632443">
        <w:t>Dabei sin</w:t>
      </w:r>
      <w:r>
        <w:t xml:space="preserve">d v.a. </w:t>
      </w:r>
      <w:r w:rsidR="00632443">
        <w:t xml:space="preserve">die </w:t>
      </w:r>
      <w:r>
        <w:t xml:space="preserve">Auswirkungen </w:t>
      </w:r>
      <w:r w:rsidR="00AE56B4">
        <w:t xml:space="preserve">der Maßnahmen </w:t>
      </w:r>
      <w:r>
        <w:t xml:space="preserve">auf das Strompreisniveau </w:t>
      </w:r>
      <w:r w:rsidR="00632443">
        <w:t xml:space="preserve">Deutschlands, die abgerufenen Erzeugungskapazitäten und damit </w:t>
      </w:r>
      <w:r w:rsidR="004035CF">
        <w:t xml:space="preserve">verbundenen </w:t>
      </w:r>
      <w:r w:rsidR="00632443">
        <w:t>CO</w:t>
      </w:r>
      <w:r w:rsidR="00632443" w:rsidRPr="00632443">
        <w:rPr>
          <w:vertAlign w:val="subscript"/>
        </w:rPr>
        <w:t>2</w:t>
      </w:r>
      <w:r w:rsidR="004035CF">
        <w:t>-Emissionen</w:t>
      </w:r>
      <w:r w:rsidR="00632443">
        <w:t xml:space="preserve"> sowie die </w:t>
      </w:r>
      <w:r w:rsidR="008D1419">
        <w:t>Effekte</w:t>
      </w:r>
      <w:r w:rsidR="00632443">
        <w:t xml:space="preserve"> auf die Nachbarländer betrachtet. </w:t>
      </w:r>
      <w:r w:rsidR="000E3FF4">
        <w:t>Anschließend können Handlungsempfehlungen bzgl. der zukünftigen Gestaltung des europäischen Stromsektors gegeben werden.</w:t>
      </w:r>
    </w:p>
    <w:p w14:paraId="041A4D9D" w14:textId="77777777" w:rsidR="005E4D4F" w:rsidRPr="005E4D4F" w:rsidRDefault="005E4D4F" w:rsidP="00227125"/>
    <w:p w14:paraId="00203371" w14:textId="77777777" w:rsidR="005E4D4F" w:rsidRPr="005E4D4F" w:rsidRDefault="005E4D4F" w:rsidP="005E4D4F">
      <w:pPr>
        <w:pStyle w:val="Ueberschrift"/>
      </w:pPr>
      <w:r w:rsidRPr="005E4D4F">
        <w:t>Methodische Vorgangsweise</w:t>
      </w:r>
      <w:bookmarkStart w:id="0" w:name="_GoBack"/>
      <w:bookmarkEnd w:id="0"/>
    </w:p>
    <w:p w14:paraId="6E621A63" w14:textId="10A06CFD" w:rsidR="005E4D4F" w:rsidRDefault="007305A9" w:rsidP="00227125">
      <w:r>
        <w:t xml:space="preserve">Für die Analyse der energiepolitischen Handlungsoptionen Deutschlands wird ein Strommarktmodell mit endogenen Kapazitätsentscheidungen für Deutschland und seine Nachbarländer in Anlehnung an </w:t>
      </w:r>
      <w:sdt>
        <w:sdtPr>
          <w:id w:val="667450024"/>
          <w:citation/>
        </w:sdtPr>
        <w:sdtEndPr/>
        <w:sdtContent>
          <w:r w:rsidR="00075370">
            <w:fldChar w:fldCharType="begin"/>
          </w:r>
          <w:r w:rsidR="00075370">
            <w:instrText xml:space="preserve"> CITATION Gri16 \l 1031 </w:instrText>
          </w:r>
          <w:r w:rsidR="00075370">
            <w:fldChar w:fldCharType="separate"/>
          </w:r>
          <w:r w:rsidR="004035CF">
            <w:rPr>
              <w:noProof/>
            </w:rPr>
            <w:t>[1]</w:t>
          </w:r>
          <w:r w:rsidR="00075370">
            <w:fldChar w:fldCharType="end"/>
          </w:r>
        </w:sdtContent>
      </w:sdt>
      <w:r w:rsidR="002E570E">
        <w:t>,</w:t>
      </w:r>
      <w:r w:rsidR="00075370">
        <w:t xml:space="preserve"> </w:t>
      </w:r>
      <w:sdt>
        <w:sdtPr>
          <w:id w:val="310837444"/>
          <w:citation/>
        </w:sdtPr>
        <w:sdtEndPr/>
        <w:sdtContent>
          <w:r w:rsidR="00075370">
            <w:fldChar w:fldCharType="begin"/>
          </w:r>
          <w:r w:rsidR="00075370">
            <w:instrText xml:space="preserve"> CITATION Gri21 \l 1031 </w:instrText>
          </w:r>
          <w:r w:rsidR="00075370">
            <w:fldChar w:fldCharType="separate"/>
          </w:r>
          <w:r w:rsidR="004035CF">
            <w:rPr>
              <w:noProof/>
            </w:rPr>
            <w:t>[2]</w:t>
          </w:r>
          <w:r w:rsidR="00075370">
            <w:fldChar w:fldCharType="end"/>
          </w:r>
        </w:sdtContent>
      </w:sdt>
      <w:r w:rsidR="00075370">
        <w:t xml:space="preserve"> </w:t>
      </w:r>
      <w:sdt>
        <w:sdtPr>
          <w:id w:val="-98110790"/>
          <w:citation/>
        </w:sdtPr>
        <w:sdtEndPr/>
        <w:sdtContent>
          <w:r w:rsidR="004035CF">
            <w:fldChar w:fldCharType="begin"/>
          </w:r>
          <w:r w:rsidR="004035CF">
            <w:instrText xml:space="preserve"> CITATION Ege221 \l 1031 </w:instrText>
          </w:r>
          <w:r w:rsidR="004035CF">
            <w:fldChar w:fldCharType="separate"/>
          </w:r>
          <w:r w:rsidR="004035CF">
            <w:rPr>
              <w:noProof/>
            </w:rPr>
            <w:t>[3]</w:t>
          </w:r>
          <w:r w:rsidR="004035CF">
            <w:fldChar w:fldCharType="end"/>
          </w:r>
        </w:sdtContent>
      </w:sdt>
      <w:r w:rsidR="004035CF">
        <w:t xml:space="preserve"> </w:t>
      </w:r>
      <w:r w:rsidR="002E570E">
        <w:t xml:space="preserve">und </w:t>
      </w:r>
      <w:sdt>
        <w:sdtPr>
          <w:id w:val="-1360583116"/>
          <w:citation/>
        </w:sdtPr>
        <w:sdtEndPr/>
        <w:sdtContent>
          <w:r w:rsidR="004035CF">
            <w:fldChar w:fldCharType="begin"/>
          </w:r>
          <w:r w:rsidR="004035CF">
            <w:instrText xml:space="preserve"> CITATION Ege222 \l 1031 </w:instrText>
          </w:r>
          <w:r w:rsidR="004035CF">
            <w:fldChar w:fldCharType="separate"/>
          </w:r>
          <w:r w:rsidR="004035CF">
            <w:rPr>
              <w:noProof/>
            </w:rPr>
            <w:t>[4]</w:t>
          </w:r>
          <w:r w:rsidR="004035CF">
            <w:fldChar w:fldCharType="end"/>
          </w:r>
        </w:sdtContent>
      </w:sdt>
      <w:r w:rsidR="002E570E">
        <w:t xml:space="preserve"> </w:t>
      </w:r>
      <w:r>
        <w:t xml:space="preserve">verwendet. </w:t>
      </w:r>
      <w:r w:rsidR="00D85F25">
        <w:t xml:space="preserve">Das Modell bildet somit den Kern des europäischen Strommarktes mit nationalen Gebotszonen ab und berechnet </w:t>
      </w:r>
      <w:r w:rsidR="004035CF">
        <w:t>Handelsergebnisse des Spotmarkts für Elektrizität</w:t>
      </w:r>
      <w:r w:rsidR="00AE56B4">
        <w:t xml:space="preserve"> sowie </w:t>
      </w:r>
      <w:r w:rsidR="00D85F25">
        <w:t>marktgetriebene Investitions- und Kapazitätsentscheidungen bzgl. Erzeugungsanlagen</w:t>
      </w:r>
      <w:r w:rsidR="00AE56B4">
        <w:t>.</w:t>
      </w:r>
      <w:r w:rsidR="00D85F25">
        <w:t xml:space="preserve"> </w:t>
      </w:r>
      <w:r>
        <w:t>Dieses Modell wird mit Daten zum geplanten Ausbau der Erneuerbaren</w:t>
      </w:r>
      <w:r w:rsidR="001065C8">
        <w:t xml:space="preserve"> hinsichtlich der Zielsetzungen aus dem TYNDP 2022 für die Nachbarländer Deutschlands bzw. des Osterpakets der deutschen Bundesregierung </w:t>
      </w:r>
      <w:sdt>
        <w:sdtPr>
          <w:id w:val="602074644"/>
          <w:citation/>
        </w:sdtPr>
        <w:sdtEndPr/>
        <w:sdtContent>
          <w:r w:rsidR="001065C8">
            <w:fldChar w:fldCharType="begin"/>
          </w:r>
          <w:r w:rsidR="001065C8">
            <w:instrText xml:space="preserve"> CITATION Deu22 \l 1031 </w:instrText>
          </w:r>
          <w:r w:rsidR="001065C8">
            <w:fldChar w:fldCharType="separate"/>
          </w:r>
          <w:r w:rsidR="004035CF">
            <w:rPr>
              <w:noProof/>
            </w:rPr>
            <w:t>[5]</w:t>
          </w:r>
          <w:r w:rsidR="001065C8">
            <w:fldChar w:fldCharType="end"/>
          </w:r>
        </w:sdtContent>
      </w:sdt>
      <w:r w:rsidR="006623CE">
        <w:t xml:space="preserve"> für den deutschen Ausbaupfad</w:t>
      </w:r>
      <w:r>
        <w:t xml:space="preserve"> sowie verschiedenen Rohstoffpreisszenarien für die </w:t>
      </w:r>
      <w:r w:rsidR="00AE56B4">
        <w:t xml:space="preserve">Jahre 2027 und 2030 kalibriert. Ausgehend von einem Benchmark mit einem verzögerten Ausbau </w:t>
      </w:r>
      <w:r w:rsidR="001065C8">
        <w:t xml:space="preserve">der erneuerbaren Erzeugung </w:t>
      </w:r>
      <w:r w:rsidR="00AE56B4">
        <w:t xml:space="preserve">werden für das Jahr 2027 die Handlungsoptionen eines ambitionierten Ausbaus </w:t>
      </w:r>
      <w:r w:rsidR="001065C8">
        <w:t>derer</w:t>
      </w:r>
      <w:r w:rsidR="00AE56B4">
        <w:t>, sowie ein</w:t>
      </w:r>
      <w:r w:rsidR="006623CE">
        <w:t>e</w:t>
      </w:r>
      <w:r w:rsidR="00AE56B4">
        <w:t xml:space="preserve"> </w:t>
      </w:r>
      <w:r w:rsidR="006623CE">
        <w:t>Reaktivierung</w:t>
      </w:r>
      <w:r w:rsidR="00AE56B4">
        <w:t xml:space="preserve"> von Kohlekraftwerken</w:t>
      </w:r>
      <w:r w:rsidR="006623CE">
        <w:t xml:space="preserve"> aus der Netzreserve</w:t>
      </w:r>
      <w:r w:rsidR="00AE56B4">
        <w:t xml:space="preserve">, welche ansonsten gemäß dem deutschen Kohleausstiegsplan </w:t>
      </w:r>
      <w:r w:rsidR="003B4D4F">
        <w:t>stillgelegt würden, analysiert. Hinzu kommt die Handlungsoption einer Ausstattung von drei Kernkraftwerken mit neuen Brennstäben</w:t>
      </w:r>
      <w:r w:rsidR="00B042DE">
        <w:t xml:space="preserve"> und damit eine ermöglichte Teilnahme auf dem Strommarkt</w:t>
      </w:r>
      <w:r w:rsidR="003B4D4F">
        <w:t>. Hierzu wird angenommen, dass die rechtliche Grundlage für den Weiterbetrieb dieser konventionellen Erzeugungsanlagen</w:t>
      </w:r>
      <w:r w:rsidR="001065C8">
        <w:t xml:space="preserve"> geschaffen wird</w:t>
      </w:r>
      <w:r w:rsidR="003B4D4F">
        <w:t>, sowie notwendige Sicherheitsüberprüfungen und Ertüchti</w:t>
      </w:r>
      <w:r w:rsidR="001065C8">
        <w:t>gungen erfolgreich gestaltet werden können</w:t>
      </w:r>
      <w:r w:rsidR="003B4D4F">
        <w:t xml:space="preserve">. Für das Jahr 2030 wird </w:t>
      </w:r>
      <w:r w:rsidR="001065C8">
        <w:t xml:space="preserve">dann </w:t>
      </w:r>
      <w:r w:rsidR="003B4D4F">
        <w:t>zusätzlich die Möglichkeit eines Kohleausstiegs unter den Bedingungen der Energiekrise und auch mittelfristig hohen Rohstoffpreisen betrachtet.</w:t>
      </w:r>
    </w:p>
    <w:p w14:paraId="449B4BD7" w14:textId="77777777" w:rsidR="005E4D4F" w:rsidRPr="005E4D4F" w:rsidRDefault="005E4D4F" w:rsidP="00227125"/>
    <w:p w14:paraId="14B95358" w14:textId="77777777" w:rsidR="005E4D4F" w:rsidRPr="005E4D4F" w:rsidRDefault="005E4D4F" w:rsidP="005E4D4F">
      <w:pPr>
        <w:pStyle w:val="Ueberschrift"/>
      </w:pPr>
      <w:r w:rsidRPr="005E4D4F">
        <w:t>Ergebnisse und Schlussfolgerungen</w:t>
      </w:r>
    </w:p>
    <w:p w14:paraId="105196BA" w14:textId="16C007B1" w:rsidR="00D10BC7" w:rsidRDefault="001065C8" w:rsidP="00227125">
      <w:r>
        <w:t xml:space="preserve">Die Ergebnisse zeigen, dass mittelfristig die Strompreise und Erzeugungsmengen vor allem durch einen koordinierten Ausbau </w:t>
      </w:r>
      <w:r w:rsidR="00305EB9">
        <w:t>der</w:t>
      </w:r>
      <w:r>
        <w:t xml:space="preserve"> Erneuerbaren </w:t>
      </w:r>
      <w:r w:rsidR="00305EB9">
        <w:t xml:space="preserve">Energien </w:t>
      </w:r>
      <w:r>
        <w:t>auf europäischer Ebene</w:t>
      </w:r>
      <w:r w:rsidR="00B042DE">
        <w:t xml:space="preserve"> </w:t>
      </w:r>
      <w:r>
        <w:t>beeinflusst werden</w:t>
      </w:r>
      <w:r w:rsidR="004D448D">
        <w:t xml:space="preserve">, wie in </w:t>
      </w:r>
      <w:r w:rsidR="004D448D">
        <w:fldChar w:fldCharType="begin"/>
      </w:r>
      <w:r w:rsidR="004D448D">
        <w:instrText xml:space="preserve"> REF _Ref119688598 \h </w:instrText>
      </w:r>
      <w:r w:rsidR="004D448D">
        <w:fldChar w:fldCharType="separate"/>
      </w:r>
      <w:r w:rsidR="004D448D">
        <w:t xml:space="preserve">Abbildung </w:t>
      </w:r>
      <w:r w:rsidR="004D448D">
        <w:rPr>
          <w:noProof/>
        </w:rPr>
        <w:t>1</w:t>
      </w:r>
      <w:r w:rsidR="004D448D">
        <w:fldChar w:fldCharType="end"/>
      </w:r>
      <w:r w:rsidR="004D448D">
        <w:t xml:space="preserve"> zu sehen ist</w:t>
      </w:r>
      <w:r>
        <w:t xml:space="preserve">. </w:t>
      </w:r>
      <w:r w:rsidR="000E3FF4">
        <w:t xml:space="preserve">Der flächendeckende europaweite Ausbau </w:t>
      </w:r>
      <w:r w:rsidR="00305EB9">
        <w:t>der</w:t>
      </w:r>
      <w:r w:rsidR="000E3FF4">
        <w:t xml:space="preserve"> Erneuerbaren </w:t>
      </w:r>
      <w:r w:rsidR="00305EB9">
        <w:t xml:space="preserve">Energien </w:t>
      </w:r>
      <w:r w:rsidR="000E3FF4">
        <w:t>stellt somi</w:t>
      </w:r>
      <w:r w:rsidR="004035CF">
        <w:t>t mittelfristig das effektivste</w:t>
      </w:r>
      <w:r w:rsidR="000E3FF4">
        <w:t xml:space="preserve"> Werkzeug gegen die Energiekrise dar. </w:t>
      </w:r>
      <w:r w:rsidR="00B042DE">
        <w:t xml:space="preserve">Die Preiseffekte der sonstigen diskutierten Maßnahmen, nämlich eines Weiterbetriebs von Kohle- und Kernkraftwerken </w:t>
      </w:r>
      <w:r w:rsidR="00305EB9">
        <w:t xml:space="preserve">können kurzfristig eine preissenkende Wirkung entfalten, der Effekt fällt aber mittelfristig </w:t>
      </w:r>
      <w:r w:rsidR="00B042DE">
        <w:t>im Vergleich</w:t>
      </w:r>
      <w:r w:rsidR="00305EB9">
        <w:t xml:space="preserve"> zum Ausbau der Erneuerbaren Energien</w:t>
      </w:r>
      <w:r w:rsidR="00B042DE">
        <w:t xml:space="preserve"> signifikant geringer aus. </w:t>
      </w:r>
      <w:r w:rsidR="00305EB9">
        <w:t xml:space="preserve">Insbesondere mit </w:t>
      </w:r>
      <w:r w:rsidR="00B042DE">
        <w:t>de</w:t>
      </w:r>
      <w:r w:rsidR="00305EB9">
        <w:t>m</w:t>
      </w:r>
      <w:r w:rsidR="00B042DE">
        <w:t xml:space="preserve"> Weiterbetrieb </w:t>
      </w:r>
      <w:r w:rsidR="00305EB9">
        <w:t>der deutschen</w:t>
      </w:r>
      <w:r w:rsidR="00B042DE">
        <w:t xml:space="preserve"> </w:t>
      </w:r>
      <w:r w:rsidR="00305EB9">
        <w:t xml:space="preserve">Kernkraftwerke </w:t>
      </w:r>
      <w:r w:rsidR="00B042DE">
        <w:t>kann eine Senkung sowohl des durchschnittlichen Strompreisniveaus in den betrachteten Ländern als auch der CO</w:t>
      </w:r>
      <w:r w:rsidR="00B042DE" w:rsidRPr="00B042DE">
        <w:rPr>
          <w:vertAlign w:val="subscript"/>
        </w:rPr>
        <w:t>2</w:t>
      </w:r>
      <w:r w:rsidR="00B042DE">
        <w:t>-Emissionen erreicht werden</w:t>
      </w:r>
      <w:r w:rsidR="00305EB9">
        <w:t>.</w:t>
      </w:r>
      <w:r w:rsidR="00B042DE">
        <w:t xml:space="preserve"> </w:t>
      </w:r>
      <w:r w:rsidR="00305EB9">
        <w:t xml:space="preserve">Aufgrund der </w:t>
      </w:r>
      <w:r w:rsidR="00925955">
        <w:t>technisch</w:t>
      </w:r>
      <w:r w:rsidR="00305EB9">
        <w:t xml:space="preserve"> und ökonomischen Limitationen bezüglich einer flexiblen Fahrweise von Kernkraftwerken ergeben sich zunehmende Herausforderungen in einem System mit stark steigenden Anteil an Erneuerbaren </w:t>
      </w:r>
      <w:r w:rsidR="00305EB9">
        <w:lastRenderedPageBreak/>
        <w:t>Energien, z. B.</w:t>
      </w:r>
      <w:r w:rsidR="00925955">
        <w:t xml:space="preserve"> </w:t>
      </w:r>
      <w:r w:rsidR="00305EB9">
        <w:t>n</w:t>
      </w:r>
      <w:r w:rsidR="00925955">
        <w:t xml:space="preserve">egative Strompreise, reduzierte Anreize für die Integration von Flexibilität sowie ein Verdrängungseffekt von erneuerbarer Erzeugung. </w:t>
      </w:r>
    </w:p>
    <w:p w14:paraId="464DBD6E" w14:textId="00166C9C" w:rsidR="00D10BC7" w:rsidRDefault="00D4600E" w:rsidP="00D10BC7">
      <w:pPr>
        <w:keepNext/>
      </w:pPr>
      <w:r>
        <w:pict w14:anchorId="29ABE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50.5pt">
            <v:imagedata r:id="rId8" o:title="Generation2027_opt"/>
          </v:shape>
        </w:pict>
      </w:r>
    </w:p>
    <w:p w14:paraId="368BAE14" w14:textId="2915B035" w:rsidR="00803917" w:rsidRPr="002946B8" w:rsidRDefault="00D10BC7" w:rsidP="00D10BC7">
      <w:pPr>
        <w:pStyle w:val="Beschriftung"/>
      </w:pPr>
      <w:bookmarkStart w:id="1" w:name="_Ref119688598"/>
      <w:r>
        <w:t xml:space="preserve">Abbildung </w:t>
      </w:r>
      <w:fldSimple w:instr=" SEQ Abbildung \* ARABIC ">
        <w:r>
          <w:rPr>
            <w:noProof/>
          </w:rPr>
          <w:t>1</w:t>
        </w:r>
      </w:fldSimple>
      <w:bookmarkEnd w:id="1"/>
      <w:r>
        <w:t xml:space="preserve">: Änderung der Erzeugungsmengen </w:t>
      </w:r>
      <w:r w:rsidR="002E570E">
        <w:t xml:space="preserve">und Emissionen </w:t>
      </w:r>
      <w:r>
        <w:t>in Deutschland (DE) und Nachbarländern (NB) für einzelne und kombinierte deutsche Handlungsoptionen zur Mobilisierung von Erzeugungskapazität im Jahr 2027. Quelle: eigene Darstellung</w:t>
      </w:r>
    </w:p>
    <w:p w14:paraId="27A1FA20" w14:textId="1EAADCB4" w:rsidR="002946B8" w:rsidRDefault="00305EB9" w:rsidP="004035CF">
      <w:r>
        <w:t xml:space="preserve">Für das Jahr 2030 zeigt sich, dass ein Kohleausstieg in Deutschland realisierbar ist, falls </w:t>
      </w:r>
      <w:r w:rsidR="002E570E">
        <w:t xml:space="preserve">der Ausbau der erneuerbaren Erzeugung </w:t>
      </w:r>
      <w:r>
        <w:t>schnell v</w:t>
      </w:r>
      <w:r w:rsidR="002E570E">
        <w:t>or</w:t>
      </w:r>
      <w:r>
        <w:t>ans</w:t>
      </w:r>
      <w:r w:rsidR="002E570E">
        <w:t>chr</w:t>
      </w:r>
      <w:r>
        <w:t>e</w:t>
      </w:r>
      <w:r w:rsidR="002E570E">
        <w:t>it</w:t>
      </w:r>
      <w:r>
        <w:t>e</w:t>
      </w:r>
      <w:r w:rsidR="002E570E">
        <w:t xml:space="preserve">t und </w:t>
      </w:r>
      <w:r w:rsidR="00C86DAC">
        <w:t xml:space="preserve">Preise für </w:t>
      </w:r>
      <w:r w:rsidR="002E570E">
        <w:t>Emissionszertifikat</w:t>
      </w:r>
      <w:r w:rsidR="006623CE">
        <w:t>e</w:t>
      </w:r>
      <w:r w:rsidR="002E570E">
        <w:t xml:space="preserve"> perspektivisch ansteigen</w:t>
      </w:r>
      <w:r w:rsidR="00C86DAC">
        <w:t xml:space="preserve">. </w:t>
      </w:r>
      <w:r w:rsidR="002E570E">
        <w:t>Dieses Ergebnis wird auch in anderen Quellen bestätigt</w:t>
      </w:r>
      <w:r w:rsidR="000E3FF4">
        <w:t>, z.B.</w:t>
      </w:r>
      <w:r w:rsidR="002E570E">
        <w:t xml:space="preserve"> </w:t>
      </w:r>
      <w:sdt>
        <w:sdtPr>
          <w:id w:val="-46377288"/>
          <w:citation/>
        </w:sdtPr>
        <w:sdtEndPr/>
        <w:sdtContent>
          <w:r w:rsidR="002E570E">
            <w:fldChar w:fldCharType="begin"/>
          </w:r>
          <w:r w:rsidR="002E570E">
            <w:instrText xml:space="preserve"> CITATION Hau22 \l 1031 </w:instrText>
          </w:r>
          <w:r w:rsidR="002E570E">
            <w:fldChar w:fldCharType="separate"/>
          </w:r>
          <w:r w:rsidR="004035CF">
            <w:rPr>
              <w:noProof/>
            </w:rPr>
            <w:t>[6]</w:t>
          </w:r>
          <w:r w:rsidR="002E570E">
            <w:fldChar w:fldCharType="end"/>
          </w:r>
        </w:sdtContent>
      </w:sdt>
      <w:r w:rsidR="002E570E">
        <w:t>. Sowohl das Potential bzgl. Strompreissenkung als auch die aggregierte Erzeugung von Kohlekraftwerken ist bereits im Jahr 2027 gering und verliert bis 2030 weiter an Bedeutung. Der marktgetriebene Zubau von Gaskraftwerken kann mittelfristig trotz höherer Rohstoffpreise als Brückentechnologie genutzt werden. Diese Gaskraftwerke müssen jedoch perspektivisch auf klimaneutralen Wasserstoff umgerüstet werden.</w:t>
      </w:r>
    </w:p>
    <w:p w14:paraId="34703403" w14:textId="77777777" w:rsidR="00364088" w:rsidRPr="00803917" w:rsidRDefault="00364088" w:rsidP="004035CF"/>
    <w:p w14:paraId="0C0574B2" w14:textId="77777777" w:rsidR="005E4D4F" w:rsidRPr="005E4D4F" w:rsidRDefault="005E4D4F" w:rsidP="00A156E4">
      <w:pPr>
        <w:pStyle w:val="Ueberschrift"/>
      </w:pPr>
      <w:bookmarkStart w:id="2" w:name="_Toc26086066"/>
      <w:bookmarkStart w:id="3" w:name="_Toc68418491"/>
      <w:r w:rsidRPr="005E4D4F">
        <w:t>Literatur</w:t>
      </w:r>
      <w:bookmarkEnd w:id="2"/>
      <w:bookmarkEnd w:id="3"/>
    </w:p>
    <w:sdt>
      <w:sdtPr>
        <w:id w:val="1112247206"/>
        <w:docPartObj>
          <w:docPartGallery w:val="Bibliographies"/>
          <w:docPartUnique/>
        </w:docPartObj>
      </w:sdtPr>
      <w:sdtEndPr/>
      <w:sdtContent>
        <w:sdt>
          <w:sdtPr>
            <w:id w:val="111145805"/>
            <w:bibliography/>
          </w:sdtPr>
          <w:sdtEndPr/>
          <w:sdtContent>
            <w:p w14:paraId="46497605" w14:textId="77777777" w:rsidR="004035CF" w:rsidRDefault="00075370">
              <w:pPr>
                <w:rPr>
                  <w:rFonts w:ascii="Times New Roman" w:hAnsi="Times New Roman"/>
                  <w:noProof/>
                  <w:szCs w:val="20"/>
                  <w:lang w:eastAsia="en-GB"/>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
                <w:gridCol w:w="8774"/>
              </w:tblGrid>
              <w:tr w:rsidR="004035CF" w:rsidRPr="00D4600E" w14:paraId="48C0E387" w14:textId="77777777">
                <w:trPr>
                  <w:divId w:val="260574622"/>
                  <w:tblCellSpacing w:w="15" w:type="dxa"/>
                </w:trPr>
                <w:tc>
                  <w:tcPr>
                    <w:tcW w:w="50" w:type="pct"/>
                    <w:hideMark/>
                  </w:tcPr>
                  <w:p w14:paraId="75B83B15" w14:textId="705D4C6A" w:rsidR="004035CF" w:rsidRDefault="004035CF">
                    <w:pPr>
                      <w:pStyle w:val="Literaturverzeichnis"/>
                      <w:rPr>
                        <w:noProof/>
                        <w:sz w:val="24"/>
                      </w:rPr>
                    </w:pPr>
                    <w:r>
                      <w:rPr>
                        <w:noProof/>
                      </w:rPr>
                      <w:t xml:space="preserve">[1] </w:t>
                    </w:r>
                  </w:p>
                </w:tc>
                <w:tc>
                  <w:tcPr>
                    <w:tcW w:w="0" w:type="auto"/>
                    <w:hideMark/>
                  </w:tcPr>
                  <w:p w14:paraId="37BF80E7" w14:textId="77777777" w:rsidR="004035CF" w:rsidRPr="004035CF" w:rsidRDefault="004035CF">
                    <w:pPr>
                      <w:pStyle w:val="Literaturverzeichnis"/>
                      <w:rPr>
                        <w:noProof/>
                        <w:lang w:val="en-GB"/>
                      </w:rPr>
                    </w:pPr>
                    <w:r w:rsidRPr="004035CF">
                      <w:rPr>
                        <w:noProof/>
                        <w:lang w:val="en-GB"/>
                      </w:rPr>
                      <w:t xml:space="preserve">V. Grimm, A. Martin, M. Schmidt, M. Weibelzahl und G. Zöttl, „Transmission and generation investment in electricity markets: The effects of market splitting and network fee regimes,“ </w:t>
                    </w:r>
                    <w:r w:rsidRPr="004035CF">
                      <w:rPr>
                        <w:i/>
                        <w:iCs/>
                        <w:noProof/>
                        <w:lang w:val="en-GB"/>
                      </w:rPr>
                      <w:t xml:space="preserve">European Journal of Operational Research, </w:t>
                    </w:r>
                    <w:r w:rsidRPr="004035CF">
                      <w:rPr>
                        <w:noProof/>
                        <w:lang w:val="en-GB"/>
                      </w:rPr>
                      <w:t xml:space="preserve">Bd. 254, Nr. 2, pp. 493-509, 2016. </w:t>
                    </w:r>
                  </w:p>
                </w:tc>
              </w:tr>
              <w:tr w:rsidR="004035CF" w:rsidRPr="00D4600E" w14:paraId="55EB0BA4" w14:textId="77777777">
                <w:trPr>
                  <w:divId w:val="260574622"/>
                  <w:tblCellSpacing w:w="15" w:type="dxa"/>
                </w:trPr>
                <w:tc>
                  <w:tcPr>
                    <w:tcW w:w="50" w:type="pct"/>
                    <w:hideMark/>
                  </w:tcPr>
                  <w:p w14:paraId="2AE58211" w14:textId="77777777" w:rsidR="004035CF" w:rsidRDefault="004035CF">
                    <w:pPr>
                      <w:pStyle w:val="Literaturverzeichnis"/>
                      <w:rPr>
                        <w:noProof/>
                      </w:rPr>
                    </w:pPr>
                    <w:r>
                      <w:rPr>
                        <w:noProof/>
                      </w:rPr>
                      <w:t xml:space="preserve">[2] </w:t>
                    </w:r>
                  </w:p>
                </w:tc>
                <w:tc>
                  <w:tcPr>
                    <w:tcW w:w="0" w:type="auto"/>
                    <w:hideMark/>
                  </w:tcPr>
                  <w:p w14:paraId="41BB9FB7" w14:textId="77777777" w:rsidR="004035CF" w:rsidRPr="004035CF" w:rsidRDefault="004035CF">
                    <w:pPr>
                      <w:pStyle w:val="Literaturverzeichnis"/>
                      <w:rPr>
                        <w:noProof/>
                        <w:lang w:val="en-GB"/>
                      </w:rPr>
                    </w:pPr>
                    <w:r w:rsidRPr="004035CF">
                      <w:rPr>
                        <w:noProof/>
                        <w:lang w:val="en-GB"/>
                      </w:rPr>
                      <w:t xml:space="preserve">V. Grimm, B. Rückel, C. Sölch und G. Zöttl, „The impact of market design on transmission and generation investment in electricity markets,“ </w:t>
                    </w:r>
                    <w:r w:rsidRPr="004035CF">
                      <w:rPr>
                        <w:i/>
                        <w:iCs/>
                        <w:noProof/>
                        <w:lang w:val="en-GB"/>
                      </w:rPr>
                      <w:t xml:space="preserve">Energy Economics 93, </w:t>
                    </w:r>
                    <w:r w:rsidRPr="004035CF">
                      <w:rPr>
                        <w:noProof/>
                        <w:lang w:val="en-GB"/>
                      </w:rPr>
                      <w:t xml:space="preserve">2021. </w:t>
                    </w:r>
                  </w:p>
                </w:tc>
              </w:tr>
              <w:tr w:rsidR="004035CF" w14:paraId="0FE0307E" w14:textId="77777777">
                <w:trPr>
                  <w:divId w:val="260574622"/>
                  <w:tblCellSpacing w:w="15" w:type="dxa"/>
                </w:trPr>
                <w:tc>
                  <w:tcPr>
                    <w:tcW w:w="50" w:type="pct"/>
                    <w:hideMark/>
                  </w:tcPr>
                  <w:p w14:paraId="352A7C74" w14:textId="77777777" w:rsidR="004035CF" w:rsidRDefault="004035CF">
                    <w:pPr>
                      <w:pStyle w:val="Literaturverzeichnis"/>
                      <w:rPr>
                        <w:noProof/>
                      </w:rPr>
                    </w:pPr>
                    <w:r>
                      <w:rPr>
                        <w:noProof/>
                      </w:rPr>
                      <w:t xml:space="preserve">[3] </w:t>
                    </w:r>
                  </w:p>
                </w:tc>
                <w:tc>
                  <w:tcPr>
                    <w:tcW w:w="0" w:type="auto"/>
                    <w:hideMark/>
                  </w:tcPr>
                  <w:p w14:paraId="39F53ADE" w14:textId="77777777" w:rsidR="004035CF" w:rsidRDefault="004035CF">
                    <w:pPr>
                      <w:pStyle w:val="Literaturverzeichnis"/>
                      <w:rPr>
                        <w:noProof/>
                      </w:rPr>
                    </w:pPr>
                    <w:r>
                      <w:rPr>
                        <w:noProof/>
                      </w:rPr>
                      <w:t xml:space="preserve">J. Egerer, V. Grimm, L. M. Lang und U. Pfefferer, „Kohleausstieg 2030 unter neuen Vorzeichen,“ </w:t>
                    </w:r>
                    <w:r>
                      <w:rPr>
                        <w:i/>
                        <w:iCs/>
                        <w:noProof/>
                      </w:rPr>
                      <w:t xml:space="preserve">Wirtschaftsdienst, </w:t>
                    </w:r>
                    <w:r>
                      <w:rPr>
                        <w:noProof/>
                      </w:rPr>
                      <w:t xml:space="preserve">Bd. 102, Nr. 8, pp. 600-608, 2022. </w:t>
                    </w:r>
                  </w:p>
                </w:tc>
              </w:tr>
              <w:tr w:rsidR="004035CF" w14:paraId="1E76D60B" w14:textId="77777777">
                <w:trPr>
                  <w:divId w:val="260574622"/>
                  <w:tblCellSpacing w:w="15" w:type="dxa"/>
                </w:trPr>
                <w:tc>
                  <w:tcPr>
                    <w:tcW w:w="50" w:type="pct"/>
                    <w:hideMark/>
                  </w:tcPr>
                  <w:p w14:paraId="26B0FD15" w14:textId="77777777" w:rsidR="004035CF" w:rsidRDefault="004035CF">
                    <w:pPr>
                      <w:pStyle w:val="Literaturverzeichnis"/>
                      <w:rPr>
                        <w:noProof/>
                      </w:rPr>
                    </w:pPr>
                    <w:r>
                      <w:rPr>
                        <w:noProof/>
                      </w:rPr>
                      <w:t xml:space="preserve">[4] </w:t>
                    </w:r>
                  </w:p>
                </w:tc>
                <w:tc>
                  <w:tcPr>
                    <w:tcW w:w="0" w:type="auto"/>
                    <w:hideMark/>
                  </w:tcPr>
                  <w:p w14:paraId="6EE9E804" w14:textId="77777777" w:rsidR="004035CF" w:rsidRDefault="004035CF">
                    <w:pPr>
                      <w:pStyle w:val="Literaturverzeichnis"/>
                      <w:rPr>
                        <w:noProof/>
                      </w:rPr>
                    </w:pPr>
                    <w:r>
                      <w:rPr>
                        <w:noProof/>
                      </w:rPr>
                      <w:t xml:space="preserve">J. Egerer, V. Grimm, L. M. Lang, U. Pfefferer und C. Sölch, „Mobilisierung von Erzeugungskapazitäten auf dem deutschen Strommarkt,“ </w:t>
                    </w:r>
                    <w:r>
                      <w:rPr>
                        <w:i/>
                        <w:iCs/>
                        <w:noProof/>
                      </w:rPr>
                      <w:t xml:space="preserve">Wirtschaftsdienst, </w:t>
                    </w:r>
                    <w:r>
                      <w:rPr>
                        <w:noProof/>
                      </w:rPr>
                      <w:t xml:space="preserve">Bd. 102, Nr. 11, 2022. </w:t>
                    </w:r>
                  </w:p>
                </w:tc>
              </w:tr>
              <w:tr w:rsidR="004035CF" w14:paraId="2D0E5474" w14:textId="77777777">
                <w:trPr>
                  <w:divId w:val="260574622"/>
                  <w:tblCellSpacing w:w="15" w:type="dxa"/>
                </w:trPr>
                <w:tc>
                  <w:tcPr>
                    <w:tcW w:w="50" w:type="pct"/>
                    <w:hideMark/>
                  </w:tcPr>
                  <w:p w14:paraId="4FFE2FBF" w14:textId="77777777" w:rsidR="004035CF" w:rsidRDefault="004035CF">
                    <w:pPr>
                      <w:pStyle w:val="Literaturverzeichnis"/>
                      <w:rPr>
                        <w:noProof/>
                      </w:rPr>
                    </w:pPr>
                    <w:r>
                      <w:rPr>
                        <w:noProof/>
                      </w:rPr>
                      <w:t xml:space="preserve">[5] </w:t>
                    </w:r>
                  </w:p>
                </w:tc>
                <w:tc>
                  <w:tcPr>
                    <w:tcW w:w="0" w:type="auto"/>
                    <w:hideMark/>
                  </w:tcPr>
                  <w:p w14:paraId="657AA4BA" w14:textId="77777777" w:rsidR="004035CF" w:rsidRDefault="004035CF">
                    <w:pPr>
                      <w:pStyle w:val="Literaturverzeichnis"/>
                      <w:rPr>
                        <w:noProof/>
                      </w:rPr>
                    </w:pPr>
                    <w:r>
                      <w:rPr>
                        <w:noProof/>
                      </w:rPr>
                      <w:t xml:space="preserve">Deutscher Bundestag, </w:t>
                    </w:r>
                    <w:r>
                      <w:rPr>
                        <w:i/>
                        <w:iCs/>
                        <w:noProof/>
                      </w:rPr>
                      <w:t xml:space="preserve">Gesetzentwurf der Bundesregierung. Entwurf eines Gesetzes zu Sofortmaßnahmen für einen beschleunigten Ausbau der erneuerbaren Energien und weiteren Maßnahmen im Stromsektor, </w:t>
                    </w:r>
                    <w:r>
                      <w:rPr>
                        <w:noProof/>
                      </w:rPr>
                      <w:t xml:space="preserve">2022. </w:t>
                    </w:r>
                  </w:p>
                </w:tc>
              </w:tr>
              <w:tr w:rsidR="004035CF" w14:paraId="537F39B6" w14:textId="77777777">
                <w:trPr>
                  <w:divId w:val="260574622"/>
                  <w:tblCellSpacing w:w="15" w:type="dxa"/>
                </w:trPr>
                <w:tc>
                  <w:tcPr>
                    <w:tcW w:w="50" w:type="pct"/>
                    <w:hideMark/>
                  </w:tcPr>
                  <w:p w14:paraId="19CABAAA" w14:textId="77777777" w:rsidR="004035CF" w:rsidRDefault="004035CF">
                    <w:pPr>
                      <w:pStyle w:val="Literaturverzeichnis"/>
                      <w:rPr>
                        <w:noProof/>
                      </w:rPr>
                    </w:pPr>
                    <w:r>
                      <w:rPr>
                        <w:noProof/>
                      </w:rPr>
                      <w:t xml:space="preserve">[6] </w:t>
                    </w:r>
                  </w:p>
                </w:tc>
                <w:tc>
                  <w:tcPr>
                    <w:tcW w:w="0" w:type="auto"/>
                    <w:hideMark/>
                  </w:tcPr>
                  <w:p w14:paraId="1167BB0A" w14:textId="77777777" w:rsidR="004035CF" w:rsidRDefault="004035CF">
                    <w:pPr>
                      <w:pStyle w:val="Literaturverzeichnis"/>
                      <w:rPr>
                        <w:noProof/>
                      </w:rPr>
                    </w:pPr>
                    <w:r>
                      <w:rPr>
                        <w:noProof/>
                      </w:rPr>
                      <w:t xml:space="preserve">C. Hauenstein, K. Hainsch, P. Herpich, C. von Hirschhausen, F. Holz, C. Kemfert, M. Kendziorski, P.-Y. Oei und C. Rieve, „Stromversorgung auch ohne russische Energielieferungen und trotz Atomausstiegs sicher - Kohleausstieg 2030 bleibt machbar,“ </w:t>
                    </w:r>
                    <w:r>
                      <w:rPr>
                        <w:i/>
                        <w:iCs/>
                        <w:noProof/>
                      </w:rPr>
                      <w:t xml:space="preserve">DIW Aktuell, </w:t>
                    </w:r>
                    <w:r>
                      <w:rPr>
                        <w:noProof/>
                      </w:rPr>
                      <w:t xml:space="preserve">Bd. 84, 2022. </w:t>
                    </w:r>
                  </w:p>
                </w:tc>
              </w:tr>
            </w:tbl>
            <w:p w14:paraId="52D5D51B" w14:textId="77777777" w:rsidR="004035CF" w:rsidRDefault="004035CF">
              <w:pPr>
                <w:divId w:val="260574622"/>
                <w:rPr>
                  <w:noProof/>
                </w:rPr>
              </w:pPr>
            </w:p>
            <w:p w14:paraId="7EBD85D2" w14:textId="79ECF603" w:rsidR="00075370" w:rsidRDefault="00075370">
              <w:r>
                <w:rPr>
                  <w:b/>
                  <w:bCs/>
                </w:rPr>
                <w:fldChar w:fldCharType="end"/>
              </w:r>
            </w:p>
          </w:sdtContent>
        </w:sdt>
      </w:sdtContent>
    </w:sdt>
    <w:p w14:paraId="68AAF16B" w14:textId="144ED352" w:rsidR="005E4D4F" w:rsidRDefault="005E4D4F" w:rsidP="00227125">
      <w:pPr>
        <w:pStyle w:val="Literatur"/>
      </w:pPr>
    </w:p>
    <w:p w14:paraId="2F0DAADC" w14:textId="3A608AFF" w:rsidR="00564569" w:rsidRDefault="00564569" w:rsidP="00227125">
      <w:pPr>
        <w:pStyle w:val="Literatur"/>
      </w:pPr>
    </w:p>
    <w:p w14:paraId="24C120A5" w14:textId="77777777" w:rsidR="00564569" w:rsidRDefault="00564569" w:rsidP="00227125">
      <w:pPr>
        <w:pStyle w:val="Literatur"/>
      </w:pPr>
    </w:p>
    <w:sectPr w:rsidR="005645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A09C8" w14:textId="77777777" w:rsidR="007240A3" w:rsidRDefault="007240A3">
      <w:r>
        <w:separator/>
      </w:r>
    </w:p>
  </w:endnote>
  <w:endnote w:type="continuationSeparator" w:id="0">
    <w:p w14:paraId="70FE4DB1" w14:textId="77777777" w:rsidR="007240A3" w:rsidRDefault="0072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19292" w14:textId="77777777" w:rsidR="007240A3" w:rsidRDefault="007240A3">
      <w:r>
        <w:separator/>
      </w:r>
    </w:p>
  </w:footnote>
  <w:footnote w:type="continuationSeparator" w:id="0">
    <w:p w14:paraId="545C060F" w14:textId="77777777" w:rsidR="007240A3" w:rsidRDefault="007240A3">
      <w:r>
        <w:continuationSeparator/>
      </w:r>
    </w:p>
  </w:footnote>
  <w:footnote w:id="1">
    <w:p w14:paraId="1DD27DBA" w14:textId="28D3077F" w:rsidR="00D53E86" w:rsidRPr="00FB69AE" w:rsidRDefault="00D53E86" w:rsidP="002014D3">
      <w:r w:rsidRPr="00A115D2">
        <w:rPr>
          <w:rStyle w:val="Funotenzeichen"/>
        </w:rPr>
        <w:footnoteRef/>
      </w:r>
      <w:r w:rsidRPr="00D53E86">
        <w:t xml:space="preserve"> </w:t>
      </w:r>
      <w:r w:rsidR="00BA747A">
        <w:t>Jungautor, Lehrstuhl für VWL, insb. Wirtschaftstheorie, Lange Gasse 20, 90403 Nürnberg, Germany</w:t>
      </w:r>
      <w:r w:rsidR="00E520E6">
        <w:t xml:space="preserve">, </w:t>
      </w:r>
      <w:r w:rsidR="00BA747A">
        <w:t>00</w:t>
      </w:r>
      <w:r w:rsidR="00BA747A" w:rsidRPr="00BA747A">
        <w:t>49911530295413</w:t>
      </w:r>
      <w:r w:rsidR="00A6148D">
        <w:t>,</w:t>
      </w:r>
      <w:r w:rsidR="00FD5D56">
        <w:t xml:space="preserve"> </w:t>
      </w:r>
      <w:r w:rsidR="00BA747A">
        <w:t>lukas.m.lang@fau.de</w:t>
      </w:r>
      <w:r>
        <w:t xml:space="preserve">, </w:t>
      </w:r>
      <w:r w:rsidR="00BA747A">
        <w:t>h</w:t>
      </w:r>
      <w:r w:rsidR="00BA747A" w:rsidRPr="00BA747A">
        <w:t>ttps://www.wirtschaftstheorie.rw.fau.de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0327D6"/>
    <w:rsid w:val="00071E30"/>
    <w:rsid w:val="00075370"/>
    <w:rsid w:val="000E1923"/>
    <w:rsid w:val="000E3FF4"/>
    <w:rsid w:val="001065C8"/>
    <w:rsid w:val="0016717B"/>
    <w:rsid w:val="001D5566"/>
    <w:rsid w:val="002014D3"/>
    <w:rsid w:val="00227125"/>
    <w:rsid w:val="00262FD5"/>
    <w:rsid w:val="002946B8"/>
    <w:rsid w:val="002E570E"/>
    <w:rsid w:val="00305EB9"/>
    <w:rsid w:val="00335E63"/>
    <w:rsid w:val="00350F98"/>
    <w:rsid w:val="00353D06"/>
    <w:rsid w:val="00364088"/>
    <w:rsid w:val="00372D53"/>
    <w:rsid w:val="003B4D4F"/>
    <w:rsid w:val="003B676F"/>
    <w:rsid w:val="003C28FE"/>
    <w:rsid w:val="003E21BC"/>
    <w:rsid w:val="004035CF"/>
    <w:rsid w:val="00483B87"/>
    <w:rsid w:val="004D448D"/>
    <w:rsid w:val="00564569"/>
    <w:rsid w:val="005B1ADB"/>
    <w:rsid w:val="005E4D4F"/>
    <w:rsid w:val="00632443"/>
    <w:rsid w:val="006623CE"/>
    <w:rsid w:val="006E65B5"/>
    <w:rsid w:val="007240A3"/>
    <w:rsid w:val="007305A9"/>
    <w:rsid w:val="007378C8"/>
    <w:rsid w:val="00741EC0"/>
    <w:rsid w:val="007A758F"/>
    <w:rsid w:val="00803917"/>
    <w:rsid w:val="008D1419"/>
    <w:rsid w:val="008D6556"/>
    <w:rsid w:val="00925955"/>
    <w:rsid w:val="009410D4"/>
    <w:rsid w:val="00A07737"/>
    <w:rsid w:val="00A156E4"/>
    <w:rsid w:val="00A6148D"/>
    <w:rsid w:val="00AE56B4"/>
    <w:rsid w:val="00B042DE"/>
    <w:rsid w:val="00BA747A"/>
    <w:rsid w:val="00BF05FA"/>
    <w:rsid w:val="00C86DAC"/>
    <w:rsid w:val="00CE1A70"/>
    <w:rsid w:val="00D10BC7"/>
    <w:rsid w:val="00D4600E"/>
    <w:rsid w:val="00D53E86"/>
    <w:rsid w:val="00D736F8"/>
    <w:rsid w:val="00D85F25"/>
    <w:rsid w:val="00DC14C0"/>
    <w:rsid w:val="00E520E6"/>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paragraph" w:styleId="berschrift1">
    <w:name w:val="heading 1"/>
    <w:basedOn w:val="Standard"/>
    <w:next w:val="Standard"/>
    <w:link w:val="berschrift1Zchn"/>
    <w:uiPriority w:val="9"/>
    <w:qFormat/>
    <w:rsid w:val="00075370"/>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customStyle="1" w:styleId="berschrift1Zchn">
    <w:name w:val="Überschrift 1 Zchn"/>
    <w:basedOn w:val="Absatz-Standardschriftart"/>
    <w:link w:val="berschrift1"/>
    <w:uiPriority w:val="9"/>
    <w:rsid w:val="00075370"/>
    <w:rPr>
      <w:rFonts w:asciiTheme="majorHAnsi" w:eastAsiaTheme="majorEastAsia" w:hAnsiTheme="majorHAnsi" w:cstheme="majorBidi"/>
      <w:color w:val="2F5496" w:themeColor="accent1" w:themeShade="BF"/>
      <w:sz w:val="32"/>
      <w:szCs w:val="32"/>
      <w:lang w:eastAsia="de-DE"/>
    </w:rPr>
  </w:style>
  <w:style w:type="paragraph" w:styleId="Literaturverzeichnis">
    <w:name w:val="Bibliography"/>
    <w:basedOn w:val="Standard"/>
    <w:next w:val="Standard"/>
    <w:uiPriority w:val="37"/>
    <w:unhideWhenUsed/>
    <w:rsid w:val="00075370"/>
  </w:style>
  <w:style w:type="paragraph" w:styleId="Beschriftung">
    <w:name w:val="caption"/>
    <w:basedOn w:val="Standard"/>
    <w:next w:val="Standard"/>
    <w:uiPriority w:val="35"/>
    <w:unhideWhenUsed/>
    <w:qFormat/>
    <w:rsid w:val="00D10BC7"/>
    <w:pPr>
      <w:spacing w:after="200"/>
    </w:pPr>
    <w:rPr>
      <w:i/>
      <w:iCs/>
      <w:color w:val="44546A" w:themeColor="text2"/>
      <w:sz w:val="18"/>
      <w:szCs w:val="18"/>
    </w:rPr>
  </w:style>
  <w:style w:type="character" w:styleId="Kommentarzeichen">
    <w:name w:val="annotation reference"/>
    <w:basedOn w:val="Absatz-Standardschriftart"/>
    <w:uiPriority w:val="99"/>
    <w:semiHidden/>
    <w:unhideWhenUsed/>
    <w:rsid w:val="00364088"/>
    <w:rPr>
      <w:sz w:val="16"/>
      <w:szCs w:val="16"/>
    </w:rPr>
  </w:style>
  <w:style w:type="paragraph" w:styleId="Kommentartext">
    <w:name w:val="annotation text"/>
    <w:basedOn w:val="Standard"/>
    <w:link w:val="KommentartextZchn"/>
    <w:uiPriority w:val="99"/>
    <w:semiHidden/>
    <w:unhideWhenUsed/>
    <w:rsid w:val="00364088"/>
    <w:rPr>
      <w:szCs w:val="20"/>
    </w:rPr>
  </w:style>
  <w:style w:type="character" w:customStyle="1" w:styleId="KommentartextZchn">
    <w:name w:val="Kommentartext Zchn"/>
    <w:basedOn w:val="Absatz-Standardschriftart"/>
    <w:link w:val="Kommentartext"/>
    <w:uiPriority w:val="99"/>
    <w:semiHidden/>
    <w:rsid w:val="00364088"/>
    <w:rPr>
      <w:rFonts w:ascii="Arial" w:hAnsi="Arial"/>
      <w:lang w:eastAsia="ko-KR"/>
    </w:rPr>
  </w:style>
  <w:style w:type="paragraph" w:styleId="Kommentarthema">
    <w:name w:val="annotation subject"/>
    <w:basedOn w:val="Kommentartext"/>
    <w:next w:val="Kommentartext"/>
    <w:link w:val="KommentarthemaZchn"/>
    <w:uiPriority w:val="99"/>
    <w:semiHidden/>
    <w:unhideWhenUsed/>
    <w:rsid w:val="00364088"/>
    <w:rPr>
      <w:b/>
      <w:bCs/>
    </w:rPr>
  </w:style>
  <w:style w:type="character" w:customStyle="1" w:styleId="KommentarthemaZchn">
    <w:name w:val="Kommentarthema Zchn"/>
    <w:basedOn w:val="KommentartextZchn"/>
    <w:link w:val="Kommentarthema"/>
    <w:uiPriority w:val="99"/>
    <w:semiHidden/>
    <w:rsid w:val="00364088"/>
    <w:rPr>
      <w:rFonts w:ascii="Arial" w:hAnsi="Arial"/>
      <w:b/>
      <w:bCs/>
      <w:lang w:eastAsia="ko-KR"/>
    </w:rPr>
  </w:style>
  <w:style w:type="paragraph" w:styleId="Sprechblasentext">
    <w:name w:val="Balloon Text"/>
    <w:basedOn w:val="Standard"/>
    <w:link w:val="SprechblasentextZchn"/>
    <w:uiPriority w:val="99"/>
    <w:semiHidden/>
    <w:unhideWhenUsed/>
    <w:rsid w:val="003640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4088"/>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431">
      <w:bodyDiv w:val="1"/>
      <w:marLeft w:val="0"/>
      <w:marRight w:val="0"/>
      <w:marTop w:val="0"/>
      <w:marBottom w:val="0"/>
      <w:divBdr>
        <w:top w:val="none" w:sz="0" w:space="0" w:color="auto"/>
        <w:left w:val="none" w:sz="0" w:space="0" w:color="auto"/>
        <w:bottom w:val="none" w:sz="0" w:space="0" w:color="auto"/>
        <w:right w:val="none" w:sz="0" w:space="0" w:color="auto"/>
      </w:divBdr>
    </w:div>
    <w:div w:id="74326575">
      <w:bodyDiv w:val="1"/>
      <w:marLeft w:val="0"/>
      <w:marRight w:val="0"/>
      <w:marTop w:val="0"/>
      <w:marBottom w:val="0"/>
      <w:divBdr>
        <w:top w:val="none" w:sz="0" w:space="0" w:color="auto"/>
        <w:left w:val="none" w:sz="0" w:space="0" w:color="auto"/>
        <w:bottom w:val="none" w:sz="0" w:space="0" w:color="auto"/>
        <w:right w:val="none" w:sz="0" w:space="0" w:color="auto"/>
      </w:divBdr>
    </w:div>
    <w:div w:id="119079729">
      <w:bodyDiv w:val="1"/>
      <w:marLeft w:val="0"/>
      <w:marRight w:val="0"/>
      <w:marTop w:val="0"/>
      <w:marBottom w:val="0"/>
      <w:divBdr>
        <w:top w:val="none" w:sz="0" w:space="0" w:color="auto"/>
        <w:left w:val="none" w:sz="0" w:space="0" w:color="auto"/>
        <w:bottom w:val="none" w:sz="0" w:space="0" w:color="auto"/>
        <w:right w:val="none" w:sz="0" w:space="0" w:color="auto"/>
      </w:divBdr>
    </w:div>
    <w:div w:id="126825700">
      <w:bodyDiv w:val="1"/>
      <w:marLeft w:val="0"/>
      <w:marRight w:val="0"/>
      <w:marTop w:val="0"/>
      <w:marBottom w:val="0"/>
      <w:divBdr>
        <w:top w:val="none" w:sz="0" w:space="0" w:color="auto"/>
        <w:left w:val="none" w:sz="0" w:space="0" w:color="auto"/>
        <w:bottom w:val="none" w:sz="0" w:space="0" w:color="auto"/>
        <w:right w:val="none" w:sz="0" w:space="0" w:color="auto"/>
      </w:divBdr>
    </w:div>
    <w:div w:id="260574622">
      <w:bodyDiv w:val="1"/>
      <w:marLeft w:val="0"/>
      <w:marRight w:val="0"/>
      <w:marTop w:val="0"/>
      <w:marBottom w:val="0"/>
      <w:divBdr>
        <w:top w:val="none" w:sz="0" w:space="0" w:color="auto"/>
        <w:left w:val="none" w:sz="0" w:space="0" w:color="auto"/>
        <w:bottom w:val="none" w:sz="0" w:space="0" w:color="auto"/>
        <w:right w:val="none" w:sz="0" w:space="0" w:color="auto"/>
      </w:divBdr>
    </w:div>
    <w:div w:id="285236452">
      <w:bodyDiv w:val="1"/>
      <w:marLeft w:val="0"/>
      <w:marRight w:val="0"/>
      <w:marTop w:val="0"/>
      <w:marBottom w:val="0"/>
      <w:divBdr>
        <w:top w:val="none" w:sz="0" w:space="0" w:color="auto"/>
        <w:left w:val="none" w:sz="0" w:space="0" w:color="auto"/>
        <w:bottom w:val="none" w:sz="0" w:space="0" w:color="auto"/>
        <w:right w:val="none" w:sz="0" w:space="0" w:color="auto"/>
      </w:divBdr>
    </w:div>
    <w:div w:id="288980352">
      <w:bodyDiv w:val="1"/>
      <w:marLeft w:val="0"/>
      <w:marRight w:val="0"/>
      <w:marTop w:val="0"/>
      <w:marBottom w:val="0"/>
      <w:divBdr>
        <w:top w:val="none" w:sz="0" w:space="0" w:color="auto"/>
        <w:left w:val="none" w:sz="0" w:space="0" w:color="auto"/>
        <w:bottom w:val="none" w:sz="0" w:space="0" w:color="auto"/>
        <w:right w:val="none" w:sz="0" w:space="0" w:color="auto"/>
      </w:divBdr>
    </w:div>
    <w:div w:id="551700362">
      <w:bodyDiv w:val="1"/>
      <w:marLeft w:val="0"/>
      <w:marRight w:val="0"/>
      <w:marTop w:val="0"/>
      <w:marBottom w:val="0"/>
      <w:divBdr>
        <w:top w:val="none" w:sz="0" w:space="0" w:color="auto"/>
        <w:left w:val="none" w:sz="0" w:space="0" w:color="auto"/>
        <w:bottom w:val="none" w:sz="0" w:space="0" w:color="auto"/>
        <w:right w:val="none" w:sz="0" w:space="0" w:color="auto"/>
      </w:divBdr>
    </w:div>
    <w:div w:id="573131389">
      <w:bodyDiv w:val="1"/>
      <w:marLeft w:val="0"/>
      <w:marRight w:val="0"/>
      <w:marTop w:val="0"/>
      <w:marBottom w:val="0"/>
      <w:divBdr>
        <w:top w:val="none" w:sz="0" w:space="0" w:color="auto"/>
        <w:left w:val="none" w:sz="0" w:space="0" w:color="auto"/>
        <w:bottom w:val="none" w:sz="0" w:space="0" w:color="auto"/>
        <w:right w:val="none" w:sz="0" w:space="0" w:color="auto"/>
      </w:divBdr>
    </w:div>
    <w:div w:id="606037400">
      <w:bodyDiv w:val="1"/>
      <w:marLeft w:val="0"/>
      <w:marRight w:val="0"/>
      <w:marTop w:val="0"/>
      <w:marBottom w:val="0"/>
      <w:divBdr>
        <w:top w:val="none" w:sz="0" w:space="0" w:color="auto"/>
        <w:left w:val="none" w:sz="0" w:space="0" w:color="auto"/>
        <w:bottom w:val="none" w:sz="0" w:space="0" w:color="auto"/>
        <w:right w:val="none" w:sz="0" w:space="0" w:color="auto"/>
      </w:divBdr>
    </w:div>
    <w:div w:id="707024665">
      <w:bodyDiv w:val="1"/>
      <w:marLeft w:val="0"/>
      <w:marRight w:val="0"/>
      <w:marTop w:val="0"/>
      <w:marBottom w:val="0"/>
      <w:divBdr>
        <w:top w:val="none" w:sz="0" w:space="0" w:color="auto"/>
        <w:left w:val="none" w:sz="0" w:space="0" w:color="auto"/>
        <w:bottom w:val="none" w:sz="0" w:space="0" w:color="auto"/>
        <w:right w:val="none" w:sz="0" w:space="0" w:color="auto"/>
      </w:divBdr>
    </w:div>
    <w:div w:id="833187557">
      <w:bodyDiv w:val="1"/>
      <w:marLeft w:val="0"/>
      <w:marRight w:val="0"/>
      <w:marTop w:val="0"/>
      <w:marBottom w:val="0"/>
      <w:divBdr>
        <w:top w:val="none" w:sz="0" w:space="0" w:color="auto"/>
        <w:left w:val="none" w:sz="0" w:space="0" w:color="auto"/>
        <w:bottom w:val="none" w:sz="0" w:space="0" w:color="auto"/>
        <w:right w:val="none" w:sz="0" w:space="0" w:color="auto"/>
      </w:divBdr>
    </w:div>
    <w:div w:id="901020208">
      <w:bodyDiv w:val="1"/>
      <w:marLeft w:val="0"/>
      <w:marRight w:val="0"/>
      <w:marTop w:val="0"/>
      <w:marBottom w:val="0"/>
      <w:divBdr>
        <w:top w:val="none" w:sz="0" w:space="0" w:color="auto"/>
        <w:left w:val="none" w:sz="0" w:space="0" w:color="auto"/>
        <w:bottom w:val="none" w:sz="0" w:space="0" w:color="auto"/>
        <w:right w:val="none" w:sz="0" w:space="0" w:color="auto"/>
      </w:divBdr>
    </w:div>
    <w:div w:id="915356452">
      <w:bodyDiv w:val="1"/>
      <w:marLeft w:val="0"/>
      <w:marRight w:val="0"/>
      <w:marTop w:val="0"/>
      <w:marBottom w:val="0"/>
      <w:divBdr>
        <w:top w:val="none" w:sz="0" w:space="0" w:color="auto"/>
        <w:left w:val="none" w:sz="0" w:space="0" w:color="auto"/>
        <w:bottom w:val="none" w:sz="0" w:space="0" w:color="auto"/>
        <w:right w:val="none" w:sz="0" w:space="0" w:color="auto"/>
      </w:divBdr>
    </w:div>
    <w:div w:id="976646288">
      <w:bodyDiv w:val="1"/>
      <w:marLeft w:val="0"/>
      <w:marRight w:val="0"/>
      <w:marTop w:val="0"/>
      <w:marBottom w:val="0"/>
      <w:divBdr>
        <w:top w:val="none" w:sz="0" w:space="0" w:color="auto"/>
        <w:left w:val="none" w:sz="0" w:space="0" w:color="auto"/>
        <w:bottom w:val="none" w:sz="0" w:space="0" w:color="auto"/>
        <w:right w:val="none" w:sz="0" w:space="0" w:color="auto"/>
      </w:divBdr>
    </w:div>
    <w:div w:id="1008218944">
      <w:bodyDiv w:val="1"/>
      <w:marLeft w:val="0"/>
      <w:marRight w:val="0"/>
      <w:marTop w:val="0"/>
      <w:marBottom w:val="0"/>
      <w:divBdr>
        <w:top w:val="none" w:sz="0" w:space="0" w:color="auto"/>
        <w:left w:val="none" w:sz="0" w:space="0" w:color="auto"/>
        <w:bottom w:val="none" w:sz="0" w:space="0" w:color="auto"/>
        <w:right w:val="none" w:sz="0" w:space="0" w:color="auto"/>
      </w:divBdr>
    </w:div>
    <w:div w:id="1044599299">
      <w:bodyDiv w:val="1"/>
      <w:marLeft w:val="0"/>
      <w:marRight w:val="0"/>
      <w:marTop w:val="0"/>
      <w:marBottom w:val="0"/>
      <w:divBdr>
        <w:top w:val="none" w:sz="0" w:space="0" w:color="auto"/>
        <w:left w:val="none" w:sz="0" w:space="0" w:color="auto"/>
        <w:bottom w:val="none" w:sz="0" w:space="0" w:color="auto"/>
        <w:right w:val="none" w:sz="0" w:space="0" w:color="auto"/>
      </w:divBdr>
    </w:div>
    <w:div w:id="1234704517">
      <w:bodyDiv w:val="1"/>
      <w:marLeft w:val="0"/>
      <w:marRight w:val="0"/>
      <w:marTop w:val="0"/>
      <w:marBottom w:val="0"/>
      <w:divBdr>
        <w:top w:val="none" w:sz="0" w:space="0" w:color="auto"/>
        <w:left w:val="none" w:sz="0" w:space="0" w:color="auto"/>
        <w:bottom w:val="none" w:sz="0" w:space="0" w:color="auto"/>
        <w:right w:val="none" w:sz="0" w:space="0" w:color="auto"/>
      </w:divBdr>
    </w:div>
    <w:div w:id="1244874055">
      <w:bodyDiv w:val="1"/>
      <w:marLeft w:val="0"/>
      <w:marRight w:val="0"/>
      <w:marTop w:val="0"/>
      <w:marBottom w:val="0"/>
      <w:divBdr>
        <w:top w:val="none" w:sz="0" w:space="0" w:color="auto"/>
        <w:left w:val="none" w:sz="0" w:space="0" w:color="auto"/>
        <w:bottom w:val="none" w:sz="0" w:space="0" w:color="auto"/>
        <w:right w:val="none" w:sz="0" w:space="0" w:color="auto"/>
      </w:divBdr>
    </w:div>
    <w:div w:id="1274941687">
      <w:bodyDiv w:val="1"/>
      <w:marLeft w:val="0"/>
      <w:marRight w:val="0"/>
      <w:marTop w:val="0"/>
      <w:marBottom w:val="0"/>
      <w:divBdr>
        <w:top w:val="none" w:sz="0" w:space="0" w:color="auto"/>
        <w:left w:val="none" w:sz="0" w:space="0" w:color="auto"/>
        <w:bottom w:val="none" w:sz="0" w:space="0" w:color="auto"/>
        <w:right w:val="none" w:sz="0" w:space="0" w:color="auto"/>
      </w:divBdr>
    </w:div>
    <w:div w:id="1275289805">
      <w:bodyDiv w:val="1"/>
      <w:marLeft w:val="0"/>
      <w:marRight w:val="0"/>
      <w:marTop w:val="0"/>
      <w:marBottom w:val="0"/>
      <w:divBdr>
        <w:top w:val="none" w:sz="0" w:space="0" w:color="auto"/>
        <w:left w:val="none" w:sz="0" w:space="0" w:color="auto"/>
        <w:bottom w:val="none" w:sz="0" w:space="0" w:color="auto"/>
        <w:right w:val="none" w:sz="0" w:space="0" w:color="auto"/>
      </w:divBdr>
    </w:div>
    <w:div w:id="1321035222">
      <w:bodyDiv w:val="1"/>
      <w:marLeft w:val="0"/>
      <w:marRight w:val="0"/>
      <w:marTop w:val="0"/>
      <w:marBottom w:val="0"/>
      <w:divBdr>
        <w:top w:val="none" w:sz="0" w:space="0" w:color="auto"/>
        <w:left w:val="none" w:sz="0" w:space="0" w:color="auto"/>
        <w:bottom w:val="none" w:sz="0" w:space="0" w:color="auto"/>
        <w:right w:val="none" w:sz="0" w:space="0" w:color="auto"/>
      </w:divBdr>
    </w:div>
    <w:div w:id="1363631958">
      <w:bodyDiv w:val="1"/>
      <w:marLeft w:val="0"/>
      <w:marRight w:val="0"/>
      <w:marTop w:val="0"/>
      <w:marBottom w:val="0"/>
      <w:divBdr>
        <w:top w:val="none" w:sz="0" w:space="0" w:color="auto"/>
        <w:left w:val="none" w:sz="0" w:space="0" w:color="auto"/>
        <w:bottom w:val="none" w:sz="0" w:space="0" w:color="auto"/>
        <w:right w:val="none" w:sz="0" w:space="0" w:color="auto"/>
      </w:divBdr>
    </w:div>
    <w:div w:id="1437015586">
      <w:bodyDiv w:val="1"/>
      <w:marLeft w:val="0"/>
      <w:marRight w:val="0"/>
      <w:marTop w:val="0"/>
      <w:marBottom w:val="0"/>
      <w:divBdr>
        <w:top w:val="none" w:sz="0" w:space="0" w:color="auto"/>
        <w:left w:val="none" w:sz="0" w:space="0" w:color="auto"/>
        <w:bottom w:val="none" w:sz="0" w:space="0" w:color="auto"/>
        <w:right w:val="none" w:sz="0" w:space="0" w:color="auto"/>
      </w:divBdr>
    </w:div>
    <w:div w:id="1445147914">
      <w:bodyDiv w:val="1"/>
      <w:marLeft w:val="0"/>
      <w:marRight w:val="0"/>
      <w:marTop w:val="0"/>
      <w:marBottom w:val="0"/>
      <w:divBdr>
        <w:top w:val="none" w:sz="0" w:space="0" w:color="auto"/>
        <w:left w:val="none" w:sz="0" w:space="0" w:color="auto"/>
        <w:bottom w:val="none" w:sz="0" w:space="0" w:color="auto"/>
        <w:right w:val="none" w:sz="0" w:space="0" w:color="auto"/>
      </w:divBdr>
    </w:div>
    <w:div w:id="1450584993">
      <w:bodyDiv w:val="1"/>
      <w:marLeft w:val="0"/>
      <w:marRight w:val="0"/>
      <w:marTop w:val="0"/>
      <w:marBottom w:val="0"/>
      <w:divBdr>
        <w:top w:val="none" w:sz="0" w:space="0" w:color="auto"/>
        <w:left w:val="none" w:sz="0" w:space="0" w:color="auto"/>
        <w:bottom w:val="none" w:sz="0" w:space="0" w:color="auto"/>
        <w:right w:val="none" w:sz="0" w:space="0" w:color="auto"/>
      </w:divBdr>
    </w:div>
    <w:div w:id="1506899576">
      <w:bodyDiv w:val="1"/>
      <w:marLeft w:val="0"/>
      <w:marRight w:val="0"/>
      <w:marTop w:val="0"/>
      <w:marBottom w:val="0"/>
      <w:divBdr>
        <w:top w:val="none" w:sz="0" w:space="0" w:color="auto"/>
        <w:left w:val="none" w:sz="0" w:space="0" w:color="auto"/>
        <w:bottom w:val="none" w:sz="0" w:space="0" w:color="auto"/>
        <w:right w:val="none" w:sz="0" w:space="0" w:color="auto"/>
      </w:divBdr>
    </w:div>
    <w:div w:id="1533036735">
      <w:bodyDiv w:val="1"/>
      <w:marLeft w:val="0"/>
      <w:marRight w:val="0"/>
      <w:marTop w:val="0"/>
      <w:marBottom w:val="0"/>
      <w:divBdr>
        <w:top w:val="none" w:sz="0" w:space="0" w:color="auto"/>
        <w:left w:val="none" w:sz="0" w:space="0" w:color="auto"/>
        <w:bottom w:val="none" w:sz="0" w:space="0" w:color="auto"/>
        <w:right w:val="none" w:sz="0" w:space="0" w:color="auto"/>
      </w:divBdr>
    </w:div>
    <w:div w:id="1566643338">
      <w:bodyDiv w:val="1"/>
      <w:marLeft w:val="0"/>
      <w:marRight w:val="0"/>
      <w:marTop w:val="0"/>
      <w:marBottom w:val="0"/>
      <w:divBdr>
        <w:top w:val="none" w:sz="0" w:space="0" w:color="auto"/>
        <w:left w:val="none" w:sz="0" w:space="0" w:color="auto"/>
        <w:bottom w:val="none" w:sz="0" w:space="0" w:color="auto"/>
        <w:right w:val="none" w:sz="0" w:space="0" w:color="auto"/>
      </w:divBdr>
    </w:div>
    <w:div w:id="1603561726">
      <w:bodyDiv w:val="1"/>
      <w:marLeft w:val="0"/>
      <w:marRight w:val="0"/>
      <w:marTop w:val="0"/>
      <w:marBottom w:val="0"/>
      <w:divBdr>
        <w:top w:val="none" w:sz="0" w:space="0" w:color="auto"/>
        <w:left w:val="none" w:sz="0" w:space="0" w:color="auto"/>
        <w:bottom w:val="none" w:sz="0" w:space="0" w:color="auto"/>
        <w:right w:val="none" w:sz="0" w:space="0" w:color="auto"/>
      </w:divBdr>
    </w:div>
    <w:div w:id="1780757421">
      <w:bodyDiv w:val="1"/>
      <w:marLeft w:val="0"/>
      <w:marRight w:val="0"/>
      <w:marTop w:val="0"/>
      <w:marBottom w:val="0"/>
      <w:divBdr>
        <w:top w:val="none" w:sz="0" w:space="0" w:color="auto"/>
        <w:left w:val="none" w:sz="0" w:space="0" w:color="auto"/>
        <w:bottom w:val="none" w:sz="0" w:space="0" w:color="auto"/>
        <w:right w:val="none" w:sz="0" w:space="0" w:color="auto"/>
      </w:divBdr>
    </w:div>
    <w:div w:id="1831753419">
      <w:bodyDiv w:val="1"/>
      <w:marLeft w:val="0"/>
      <w:marRight w:val="0"/>
      <w:marTop w:val="0"/>
      <w:marBottom w:val="0"/>
      <w:divBdr>
        <w:top w:val="none" w:sz="0" w:space="0" w:color="auto"/>
        <w:left w:val="none" w:sz="0" w:space="0" w:color="auto"/>
        <w:bottom w:val="none" w:sz="0" w:space="0" w:color="auto"/>
        <w:right w:val="none" w:sz="0" w:space="0" w:color="auto"/>
      </w:divBdr>
    </w:div>
    <w:div w:id="1858544597">
      <w:bodyDiv w:val="1"/>
      <w:marLeft w:val="0"/>
      <w:marRight w:val="0"/>
      <w:marTop w:val="0"/>
      <w:marBottom w:val="0"/>
      <w:divBdr>
        <w:top w:val="none" w:sz="0" w:space="0" w:color="auto"/>
        <w:left w:val="none" w:sz="0" w:space="0" w:color="auto"/>
        <w:bottom w:val="none" w:sz="0" w:space="0" w:color="auto"/>
        <w:right w:val="none" w:sz="0" w:space="0" w:color="auto"/>
      </w:divBdr>
    </w:div>
    <w:div w:id="1867668481">
      <w:bodyDiv w:val="1"/>
      <w:marLeft w:val="0"/>
      <w:marRight w:val="0"/>
      <w:marTop w:val="0"/>
      <w:marBottom w:val="0"/>
      <w:divBdr>
        <w:top w:val="none" w:sz="0" w:space="0" w:color="auto"/>
        <w:left w:val="none" w:sz="0" w:space="0" w:color="auto"/>
        <w:bottom w:val="none" w:sz="0" w:space="0" w:color="auto"/>
        <w:right w:val="none" w:sz="0" w:space="0" w:color="auto"/>
      </w:divBdr>
    </w:div>
    <w:div w:id="2060284025">
      <w:bodyDiv w:val="1"/>
      <w:marLeft w:val="0"/>
      <w:marRight w:val="0"/>
      <w:marTop w:val="0"/>
      <w:marBottom w:val="0"/>
      <w:divBdr>
        <w:top w:val="none" w:sz="0" w:space="0" w:color="auto"/>
        <w:left w:val="none" w:sz="0" w:space="0" w:color="auto"/>
        <w:bottom w:val="none" w:sz="0" w:space="0" w:color="auto"/>
        <w:right w:val="none" w:sz="0" w:space="0" w:color="auto"/>
      </w:divBdr>
    </w:div>
    <w:div w:id="20697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Gri16</b:Tag>
    <b:SourceType>ArticleInAPeriodical</b:SourceType>
    <b:Guid>{58A6CB4E-466E-4904-A646-58771896EFCE}</b:Guid>
    <b:Author>
      <b:Author>
        <b:NameList>
          <b:Person>
            <b:Last>Grimm</b:Last>
            <b:First>V.</b:First>
          </b:Person>
          <b:Person>
            <b:Last>Martin</b:Last>
            <b:First>A.</b:First>
          </b:Person>
          <b:Person>
            <b:Last>Schmidt</b:Last>
            <b:First>M.</b:First>
          </b:Person>
          <b:Person>
            <b:Last>Weibelzahl</b:Last>
            <b:First>M.</b:First>
          </b:Person>
          <b:Person>
            <b:Last>Zöttl</b:Last>
            <b:First>G.</b:First>
          </b:Person>
        </b:NameList>
      </b:Author>
    </b:Author>
    <b:Title>Transmission and generation investment in electricity markets: The effects of market splitting and network fee regimes</b:Title>
    <b:PeriodicalTitle>European Journal of Operational Research</b:PeriodicalTitle>
    <b:Year>2016</b:Year>
    <b:Pages>493-509</b:Pages>
    <b:Volume>254</b:Volume>
    <b:Issue>2</b:Issue>
    <b:RefOrder>1</b:RefOrder>
  </b:Source>
  <b:Source>
    <b:Tag>Gri21</b:Tag>
    <b:SourceType>JournalArticle</b:SourceType>
    <b:Guid>{3D8589BC-64A6-4C0F-8C51-1AA2307B038D}</b:Guid>
    <b:Author>
      <b:Author>
        <b:NameList>
          <b:Person>
            <b:Last>Grimm</b:Last>
            <b:First>V.</b:First>
          </b:Person>
          <b:Person>
            <b:Last>Rückel</b:Last>
            <b:First>B.</b:First>
          </b:Person>
          <b:Person>
            <b:Last>Sölch</b:Last>
            <b:First>C.</b:First>
          </b:Person>
          <b:Person>
            <b:Last>Zöttl</b:Last>
            <b:First>G.</b:First>
          </b:Person>
        </b:NameList>
      </b:Author>
    </b:Author>
    <b:Title>The impact of market design on transmission and generation investment in electricity markets</b:Title>
    <b:JournalName>Energy Economics 93</b:JournalName>
    <b:Year>2021</b:Year>
    <b:DOI>https://doi.org/10.1016/j.eneco.2020.104934</b:DOI>
    <b:RefOrder>2</b:RefOrder>
  </b:Source>
  <b:Source>
    <b:Tag>Deu22</b:Tag>
    <b:SourceType>Misc</b:SourceType>
    <b:Guid>{A02650CB-0C66-418D-98D9-2426F148A51A}</b:Guid>
    <b:Title>Gesetzentwurf der Bundesregierung. Entwurf eines Gesetzes zu Sofortmaßnahmen für einen beschleunigten Ausbau der erneuerbaren Energien und weiteren Maßnahmen im Stromsektor</b:Title>
    <b:Year>2022</b:Year>
    <b:Author>
      <b:Author>
        <b:Corporate>Deutscher Bundestag</b:Corporate>
      </b:Author>
    </b:Author>
    <b:RefOrder>5</b:RefOrder>
  </b:Source>
  <b:Source>
    <b:Tag>Hau22</b:Tag>
    <b:SourceType>JournalArticle</b:SourceType>
    <b:Guid>{9012EC9F-22D1-4836-BD05-41B3F2DE0603}</b:Guid>
    <b:Author>
      <b:Author>
        <b:NameList>
          <b:Person>
            <b:Last>Hauenstein</b:Last>
            <b:First>C.</b:First>
          </b:Person>
          <b:Person>
            <b:Last>Hainsch</b:Last>
            <b:First>K.</b:First>
          </b:Person>
          <b:Person>
            <b:Last>Herpich</b:Last>
            <b:First>P.</b:First>
          </b:Person>
          <b:Person>
            <b:Last>von Hirschhausen</b:Last>
            <b:First>C.</b:First>
          </b:Person>
          <b:Person>
            <b:Last>Holz</b:Last>
            <b:First>F.</b:First>
          </b:Person>
          <b:Person>
            <b:Last>Kemfert</b:Last>
            <b:First>C.</b:First>
          </b:Person>
          <b:Person>
            <b:Last>Kendziorski</b:Last>
            <b:First>M.</b:First>
          </b:Person>
          <b:Person>
            <b:Last>Oei</b:Last>
            <b:First>P.-Y.</b:First>
          </b:Person>
          <b:Person>
            <b:Last>Rieve</b:Last>
            <b:First>C.</b:First>
          </b:Person>
        </b:NameList>
      </b:Author>
    </b:Author>
    <b:Title>Stromversorgung auch ohne russische Energielieferungen und trotz Atomausstiegs sicher - Kohleausstieg 2030 bleibt machbar</b:Title>
    <b:Year>2022</b:Year>
    <b:JournalName>DIW Aktuell</b:JournalName>
    <b:Volume>84</b:Volume>
    <b:RefOrder>6</b:RefOrder>
  </b:Source>
  <b:Source>
    <b:Tag>Ege222</b:Tag>
    <b:SourceType>JournalArticle</b:SourceType>
    <b:Guid>{91354221-5876-4017-A8B8-44BD298F50C0}</b:Guid>
    <b:Author>
      <b:Author>
        <b:NameList>
          <b:Person>
            <b:Last>Egerer</b:Last>
            <b:First>J.</b:First>
          </b:Person>
          <b:Person>
            <b:Last>Grimm</b:Last>
            <b:First>V.</b:First>
          </b:Person>
          <b:Person>
            <b:Last>Lang</b:Last>
            <b:First>L.</b:First>
            <b:Middle>M.</b:Middle>
          </b:Person>
          <b:Person>
            <b:Last>Pfefferer</b:Last>
            <b:First>U.</b:First>
          </b:Person>
          <b:Person>
            <b:Last>Sölch</b:Last>
            <b:First>C.</b:First>
          </b:Person>
        </b:NameList>
      </b:Author>
    </b:Author>
    <b:Title>Mobilisierung von Erzeugungskapazitäten auf dem deutschen Strommarkt</b:Title>
    <b:JournalName>Wirtschaftsdienst</b:JournalName>
    <b:Year>2022</b:Year>
    <b:Volume>102</b:Volume>
    <b:Issue>11</b:Issue>
    <b:RefOrder>4</b:RefOrder>
  </b:Source>
  <b:Source>
    <b:Tag>Ege221</b:Tag>
    <b:SourceType>JournalArticle</b:SourceType>
    <b:Guid>{42BAFDBC-76A8-4717-BAE1-45B77E5F3108}</b:Guid>
    <b:Author>
      <b:Author>
        <b:NameList>
          <b:Person>
            <b:Last>Egerer</b:Last>
            <b:First>J.</b:First>
          </b:Person>
          <b:Person>
            <b:Last>Grimm</b:Last>
            <b:First>V.</b:First>
          </b:Person>
          <b:Person>
            <b:Last>Lang</b:Last>
            <b:First>L.</b:First>
            <b:Middle>M.</b:Middle>
          </b:Person>
          <b:Person>
            <b:Last>Pfefferer</b:Last>
            <b:First>U.</b:First>
          </b:Person>
        </b:NameList>
      </b:Author>
    </b:Author>
    <b:Title>Kohleausstieg 2030 unter neuen Vorzeichen</b:Title>
    <b:JournalName>Wirtschaftsdienst</b:JournalName>
    <b:Year>2022</b:Year>
    <b:Pages>600-608</b:Pages>
    <b:Volume>102</b:Volume>
    <b:Issue>8</b:Issue>
    <b:RefOrder>3</b:RefOrder>
  </b:Source>
</b:Sources>
</file>

<file path=customXml/itemProps1.xml><?xml version="1.0" encoding="utf-8"?>
<ds:datastoreItem xmlns:ds="http://schemas.openxmlformats.org/officeDocument/2006/customXml" ds:itemID="{9E170C5C-B7C0-4C39-AA76-065EC3C0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5856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Lang, Lukas</cp:lastModifiedBy>
  <cp:revision>4</cp:revision>
  <dcterms:created xsi:type="dcterms:W3CDTF">2022-11-18T17:28:00Z</dcterms:created>
  <dcterms:modified xsi:type="dcterms:W3CDTF">2022-11-18T17:32:00Z</dcterms:modified>
</cp:coreProperties>
</file>