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bstract-Titel"/>
      </w:pPr>
      <w:bookmarkStart w:id="0" w:name="_GoBack"/>
      <w:bookmarkEnd w:id="0"/>
      <w:r>
        <w:t>Gasknappheit und Kohleausstieg - Neuausrichtung der Fernwärmeversorgung in Deutschland? Eine Szenarien Analyse</w:t>
      </w:r>
    </w:p>
    <w:p>
      <w:pPr>
        <w:pStyle w:val="AutorenOrganisation"/>
      </w:pPr>
      <w:r>
        <w:t>Themenbereich: Energie-/Klimapolitik, Versorgungssicherheit</w:t>
      </w:r>
    </w:p>
    <w:p>
      <w:pPr>
        <w:pStyle w:val="AutorenOrganisation"/>
      </w:pPr>
      <w:r>
        <w:t>Alexander BURKHARDT</w:t>
      </w:r>
      <w:r>
        <w:rPr>
          <w:vertAlign w:val="superscript"/>
        </w:rPr>
        <w:t xml:space="preserve"> (1)</w:t>
      </w:r>
      <w:r>
        <w:t>, Markus BLESL</w:t>
      </w:r>
      <w:r>
        <w:rPr>
          <w:vertAlign w:val="superscript"/>
        </w:rPr>
        <w:t>(1)</w:t>
      </w:r>
    </w:p>
    <w:p>
      <w:pPr>
        <w:pStyle w:val="AutorenOrganisation"/>
      </w:pPr>
      <w:r>
        <w:rPr>
          <w:vertAlign w:val="superscript"/>
        </w:rPr>
        <w:t xml:space="preserve">(1) </w:t>
      </w:r>
      <w:r>
        <w:t xml:space="preserve"> Institut für Energiewirtschaft und Rationelle Energieanwendung (IER), Universität Stuttgart; Heßbrühlstraße 49a, 70565 Stuttgart; Telefon: +49 711 685 87500; alexander.burkhardt@ier.uni-stuttgart.de</w:t>
      </w:r>
    </w:p>
    <w:p>
      <w:pPr>
        <w:rPr>
          <w:lang w:val="de-AT"/>
        </w:rPr>
      </w:pPr>
    </w:p>
    <w:p>
      <w:pPr>
        <w:pStyle w:val="Ueberschrift"/>
      </w:pPr>
      <w:r>
        <w:t>Motivation und zentrale Fragestellung</w:t>
      </w:r>
    </w:p>
    <w:p/>
    <w:p>
      <w:r>
        <w:t xml:space="preserve">Ein Sektor, der bezüglich seines Beitrags zur Klimaneutralität bisher wenig Aufmerksamkeit erhielt, steht im Zuge des Ukrainekrieges nun im Fokus der Medien und des öffentlichen Bewusstseins: der Gebäudesektor. Eine zentrale Rolle spielt hier die Versorgung mit Fernwärme, vor allem in dicht besiedelten Gebieten. Durch die Gasknappheit müssen die bisherigen Planungen, die kurz- bis mittelfristig stark auf Gas-KWK-Anlagen setzten, jedoch überdacht werden. </w:t>
      </w:r>
      <w:r>
        <w:rPr>
          <w:noProof/>
        </w:rPr>
        <w:t xml:space="preserve">[1] </w:t>
      </w:r>
      <w:r>
        <w:t>Hinzu kommt in Deutschland der Kohleausstieg, der auf 2030 vorgezogen werden soll, wodurch bisherige Fernwärmeproduktion ersetzt werden muss. Es stellt sich somit die Frage, wie groß die Rolle der Gas-KWK in Anbetracht der aktuellen Gasknappheit noch sein kann, und welche Auswirkungen dies auf die Erreichung der Klimaziele hat.</w:t>
      </w:r>
    </w:p>
    <w:p/>
    <w:p>
      <w:pPr>
        <w:pStyle w:val="Ueberschrift"/>
      </w:pPr>
      <w:r>
        <w:t>Methodische Vorgangsweise</w:t>
      </w:r>
    </w:p>
    <w:p/>
    <w:p>
      <w:r>
        <w:t xml:space="preserve">Um die Auswirkungen des vorgezogenen Kohleausstiegs sowie der aktuellen Gasknappheit besser zu verstehen, werden mit dem Energiesystemmodell TIMES PanEU verschiedene Szenarien analysiert. TIMES PanEU ist ein techno-ökonomisches, bottom-up Energiesystemmodell, das alle relevanten Sektoren sowie 30 Länder (EU27, Vereinigtes Königreich, Norwegen, Schweiz) abbildet und die gesamten diskontierten Systemkosten zeitintegral minimiert. </w:t>
      </w:r>
      <w:r>
        <w:rPr>
          <w:noProof/>
        </w:rPr>
        <w:t>[2]</w:t>
      </w:r>
      <w:r>
        <w:t xml:space="preserve"> Diese sollen dann bisherigen Transformationspfaden (Ref) gegenübergestellt werden, von denen die meisten einen kurz- und mittelfristigen Ausbau der Fernwärme prognostizieren. </w:t>
      </w:r>
    </w:p>
    <w:p/>
    <w:p>
      <w:r>
        <w:t>Dabei wird ein sogenanntes Energiekrisen-Szenario (E-Krise) mit einem deutlichen Preisschock für fossile Energieträger gerechnet, bei dem zudem angenommen wird, dass der Import von Erdgas, Kohle und Erdöl aus Russland nicht wiederaufgenommen wird. Zumindest bei Erdgas kommt es somit auch zu einer kurzfristigen Verknappung des Angebots. Nun werden beide Szenarien, das Referenz- und das Energiekrisen-Szenario mit einem vorgezogenen Kohleausstieg 2030 gerechnet (_KA2030), es werden also insgesamt vier Szenarien betrachtet.</w:t>
      </w:r>
    </w:p>
    <w:p/>
    <w:p>
      <w:r>
        <w:t>Für alle Szenarien wird vorgegeben, dass Deutschland bis 2045 das Ziel der Klimaneutralität erreichen muss.</w:t>
      </w:r>
    </w:p>
    <w:p/>
    <w:p>
      <w:pPr>
        <w:pStyle w:val="Ueberschrift"/>
      </w:pPr>
      <w:r>
        <w:t>Ergebnisse und Schlussfolgerungen</w:t>
      </w:r>
    </w:p>
    <w:p/>
    <w:p>
      <w:r>
        <w:t>Durch den Preisschock bei den fossilen Energieträgern wird insbesondere die Gas-KWK im Vergleich zu anderen Technologien deutlich weniger attraktiv. So beträgt der Erdgasverbrauch von KWK-Anlagen der öffentlichen Versorgung im Energiekrisen-Szenario lediglich 28% des Referenzszenarios. Ähnliches lässt sich auch in Bezug auf Heizwerke sowie industrielle KWK-Anlagen beobachten (vgl. Abbildung 1)</w:t>
      </w:r>
    </w:p>
    <w:p/>
    <w:p>
      <w:r>
        <w:t>Auffällig ist zudem, dass der vorgezogene Kohleausstieg im Referenzszenario nur geringe Auswirkungen auf den Gasverbrauch hat, im E-Krisen Szenario jedoch deutlich ins Gewicht fällt, so dass im Szenario E-Krise_KA2030 etwa doppelt so viel Gas für KWK verbraucht wird, wie bei einem bisher angedachten Kohleausstieg 2038.</w:t>
      </w:r>
    </w:p>
    <w:p>
      <w:r>
        <w:rPr>
          <w:noProof/>
          <w:lang w:eastAsia="de-DE"/>
        </w:rPr>
        <w:lastRenderedPageBreak/>
        <w:drawing>
          <wp:inline distT="0" distB="0" distL="0" distR="0">
            <wp:extent cx="5581650" cy="330263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Abbildungsbeschriftung"/>
      </w:pPr>
      <w:r>
        <w:t>Abbildung 1: Erdgasverbrauch öffentlicher KWK-Anlagen zur Strom- und Fernwärmeerzeugung</w:t>
      </w:r>
    </w:p>
    <w:p/>
    <w:p>
      <w:r>
        <w:t xml:space="preserve">Daraus lässt sich schließen, dass die bisher angedachte Erdgasbrücke in der derzeitigen Krisensituation nicht im anvisierten Ausmaß zur Verfügung stehen wird. Stattdessen muss schnell und entschlossen in eine Defossilisierung der Fernwärmeerzeugung, sowie in den damit einhergehenden Umbau der Fernwärmenetze, investiert werden. </w:t>
      </w:r>
    </w:p>
    <w:p/>
    <w:p>
      <w:pPr>
        <w:pStyle w:val="Caption"/>
        <w:keepNext/>
        <w:rPr>
          <w:b w:val="0"/>
          <w:i/>
        </w:rPr>
      </w:pPr>
      <w:r>
        <w:rPr>
          <w:b w:val="0"/>
          <w:i/>
        </w:rPr>
        <w:t xml:space="preserve">Tabelle </w:t>
      </w:r>
      <w:r>
        <w:rPr>
          <w:b w:val="0"/>
          <w:i/>
        </w:rPr>
        <w:fldChar w:fldCharType="begin"/>
      </w:r>
      <w:r>
        <w:rPr>
          <w:b w:val="0"/>
          <w:i/>
        </w:rPr>
        <w:instrText xml:space="preserve"> SEQ Tabelle \* ARABIC </w:instrText>
      </w:r>
      <w:r>
        <w:rPr>
          <w:b w:val="0"/>
          <w:i/>
        </w:rPr>
        <w:fldChar w:fldCharType="separate"/>
      </w:r>
      <w:r>
        <w:rPr>
          <w:b w:val="0"/>
          <w:i/>
          <w:noProof/>
        </w:rPr>
        <w:t>1</w:t>
      </w:r>
      <w:r>
        <w:rPr>
          <w:b w:val="0"/>
          <w:i/>
        </w:rPr>
        <w:fldChar w:fldCharType="end"/>
      </w:r>
      <w:r>
        <w:rPr>
          <w:b w:val="0"/>
          <w:i/>
        </w:rPr>
        <w:t>: Primärenergieverbrauch in Deutschland über alle Sektoren hinweg in PJ</w:t>
      </w:r>
    </w:p>
    <w:tbl>
      <w:tblPr>
        <w:tblW w:w="9062" w:type="dxa"/>
        <w:tblInd w:w="80" w:type="dxa"/>
        <w:tblCellMar>
          <w:left w:w="70" w:type="dxa"/>
          <w:right w:w="70" w:type="dxa"/>
        </w:tblCellMar>
        <w:tblLook w:val="04A0" w:firstRow="1" w:lastRow="0" w:firstColumn="1" w:lastColumn="0" w:noHBand="0" w:noVBand="1"/>
      </w:tblPr>
      <w:tblGrid>
        <w:gridCol w:w="1691"/>
        <w:gridCol w:w="1701"/>
        <w:gridCol w:w="1134"/>
        <w:gridCol w:w="993"/>
        <w:gridCol w:w="1001"/>
        <w:gridCol w:w="841"/>
        <w:gridCol w:w="851"/>
        <w:gridCol w:w="850"/>
      </w:tblGrid>
      <w:tr>
        <w:trPr>
          <w:trHeight w:val="255"/>
        </w:trPr>
        <w:tc>
          <w:tcPr>
            <w:tcW w:w="9062" w:type="dxa"/>
            <w:gridSpan w:val="8"/>
            <w:tcBorders>
              <w:top w:val="single" w:sz="8" w:space="0" w:color="auto"/>
              <w:left w:val="single" w:sz="8" w:space="0" w:color="auto"/>
              <w:bottom w:val="single" w:sz="8" w:space="0" w:color="auto"/>
              <w:right w:val="single" w:sz="8" w:space="0" w:color="000000"/>
            </w:tcBorders>
            <w:shd w:val="clear" w:color="000000" w:fill="C4D79B"/>
            <w:noWrap/>
            <w:vAlign w:val="bottom"/>
            <w:hideMark/>
          </w:tcPr>
          <w:p>
            <w:pPr>
              <w:jc w:val="center"/>
              <w:rPr>
                <w:rFonts w:ascii="Calibri" w:hAnsi="Calibri" w:cs="Calibri"/>
                <w:b/>
                <w:bCs/>
                <w:color w:val="000000"/>
                <w:sz w:val="22"/>
                <w:szCs w:val="22"/>
                <w:lang w:eastAsia="de-DE"/>
              </w:rPr>
            </w:pPr>
            <w:r>
              <w:rPr>
                <w:rFonts w:ascii="Calibri" w:hAnsi="Calibri" w:cs="Calibri"/>
                <w:b/>
                <w:bCs/>
                <w:color w:val="000000"/>
                <w:sz w:val="22"/>
                <w:szCs w:val="22"/>
                <w:lang w:eastAsia="de-DE"/>
              </w:rPr>
              <w:t xml:space="preserve">Primärenergieverbrauch in PJ </w:t>
            </w:r>
          </w:p>
        </w:tc>
      </w:tr>
      <w:tr>
        <w:trPr>
          <w:trHeight w:val="255"/>
        </w:trPr>
        <w:tc>
          <w:tcPr>
            <w:tcW w:w="1691" w:type="dxa"/>
            <w:tcBorders>
              <w:top w:val="nil"/>
              <w:left w:val="single" w:sz="8" w:space="0" w:color="auto"/>
              <w:bottom w:val="single" w:sz="8" w:space="0" w:color="auto"/>
              <w:right w:val="single" w:sz="8" w:space="0" w:color="auto"/>
            </w:tcBorders>
            <w:shd w:val="clear" w:color="000000" w:fill="D8E4BC"/>
            <w:noWrap/>
            <w:vAlign w:val="bottom"/>
            <w:hideMark/>
          </w:tcPr>
          <w:p>
            <w:pPr>
              <w:jc w:val="left"/>
              <w:rPr>
                <w:rFonts w:ascii="Calibri" w:hAnsi="Calibri" w:cs="Calibri"/>
                <w:b/>
                <w:bCs/>
                <w:sz w:val="22"/>
                <w:szCs w:val="22"/>
                <w:lang w:eastAsia="de-DE"/>
              </w:rPr>
            </w:pPr>
            <w:r>
              <w:rPr>
                <w:rFonts w:ascii="Calibri" w:hAnsi="Calibri" w:cs="Calibri"/>
                <w:b/>
                <w:bCs/>
                <w:sz w:val="22"/>
                <w:szCs w:val="22"/>
                <w:lang w:eastAsia="de-DE"/>
              </w:rPr>
              <w:t>Szenario</w:t>
            </w:r>
          </w:p>
        </w:tc>
        <w:tc>
          <w:tcPr>
            <w:tcW w:w="1701" w:type="dxa"/>
            <w:tcBorders>
              <w:top w:val="nil"/>
              <w:left w:val="nil"/>
              <w:bottom w:val="single" w:sz="8" w:space="0" w:color="auto"/>
              <w:right w:val="single" w:sz="8" w:space="0" w:color="auto"/>
            </w:tcBorders>
            <w:shd w:val="clear" w:color="000000" w:fill="D8E4BC"/>
            <w:noWrap/>
            <w:vAlign w:val="bottom"/>
            <w:hideMark/>
          </w:tcPr>
          <w:p>
            <w:pPr>
              <w:jc w:val="left"/>
              <w:rPr>
                <w:rFonts w:ascii="Calibri" w:hAnsi="Calibri" w:cs="Calibri"/>
                <w:b/>
                <w:bCs/>
                <w:sz w:val="22"/>
                <w:szCs w:val="22"/>
                <w:lang w:eastAsia="de-DE"/>
              </w:rPr>
            </w:pPr>
            <w:r>
              <w:rPr>
                <w:rFonts w:ascii="Calibri" w:hAnsi="Calibri" w:cs="Calibri"/>
                <w:b/>
                <w:bCs/>
                <w:sz w:val="22"/>
                <w:szCs w:val="22"/>
                <w:lang w:eastAsia="de-DE"/>
              </w:rPr>
              <w:t>Energieträger</w:t>
            </w:r>
          </w:p>
        </w:tc>
        <w:tc>
          <w:tcPr>
            <w:tcW w:w="1134" w:type="dxa"/>
            <w:tcBorders>
              <w:top w:val="nil"/>
              <w:left w:val="nil"/>
              <w:bottom w:val="single" w:sz="8" w:space="0" w:color="auto"/>
              <w:right w:val="single" w:sz="8" w:space="0" w:color="auto"/>
            </w:tcBorders>
            <w:shd w:val="clear" w:color="000000" w:fill="D8E4BC"/>
            <w:noWrap/>
            <w:vAlign w:val="bottom"/>
            <w:hideMark/>
          </w:tcPr>
          <w:p>
            <w:pPr>
              <w:jc w:val="right"/>
              <w:rPr>
                <w:rFonts w:ascii="Calibri" w:hAnsi="Calibri" w:cs="Calibri"/>
                <w:b/>
                <w:bCs/>
                <w:sz w:val="22"/>
                <w:szCs w:val="22"/>
                <w:lang w:eastAsia="de-DE"/>
              </w:rPr>
            </w:pPr>
            <w:r>
              <w:rPr>
                <w:rFonts w:ascii="Calibri" w:hAnsi="Calibri" w:cs="Calibri"/>
                <w:b/>
                <w:bCs/>
                <w:sz w:val="22"/>
                <w:szCs w:val="22"/>
                <w:lang w:eastAsia="de-DE"/>
              </w:rPr>
              <w:t>2025</w:t>
            </w:r>
          </w:p>
        </w:tc>
        <w:tc>
          <w:tcPr>
            <w:tcW w:w="993" w:type="dxa"/>
            <w:tcBorders>
              <w:top w:val="nil"/>
              <w:left w:val="nil"/>
              <w:bottom w:val="single" w:sz="8" w:space="0" w:color="auto"/>
              <w:right w:val="single" w:sz="8" w:space="0" w:color="auto"/>
            </w:tcBorders>
            <w:shd w:val="clear" w:color="000000" w:fill="D8E4BC"/>
            <w:noWrap/>
            <w:vAlign w:val="bottom"/>
            <w:hideMark/>
          </w:tcPr>
          <w:p>
            <w:pPr>
              <w:jc w:val="right"/>
              <w:rPr>
                <w:rFonts w:ascii="Calibri" w:hAnsi="Calibri" w:cs="Calibri"/>
                <w:b/>
                <w:bCs/>
                <w:sz w:val="22"/>
                <w:szCs w:val="22"/>
                <w:lang w:eastAsia="de-DE"/>
              </w:rPr>
            </w:pPr>
            <w:r>
              <w:rPr>
                <w:rFonts w:ascii="Calibri" w:hAnsi="Calibri" w:cs="Calibri"/>
                <w:b/>
                <w:bCs/>
                <w:sz w:val="22"/>
                <w:szCs w:val="22"/>
                <w:lang w:eastAsia="de-DE"/>
              </w:rPr>
              <w:t>2030</w:t>
            </w:r>
          </w:p>
        </w:tc>
        <w:tc>
          <w:tcPr>
            <w:tcW w:w="1001" w:type="dxa"/>
            <w:tcBorders>
              <w:top w:val="nil"/>
              <w:left w:val="nil"/>
              <w:bottom w:val="single" w:sz="8" w:space="0" w:color="auto"/>
              <w:right w:val="single" w:sz="8" w:space="0" w:color="auto"/>
            </w:tcBorders>
            <w:shd w:val="clear" w:color="000000" w:fill="D8E4BC"/>
            <w:noWrap/>
            <w:vAlign w:val="bottom"/>
            <w:hideMark/>
          </w:tcPr>
          <w:p>
            <w:pPr>
              <w:jc w:val="right"/>
              <w:rPr>
                <w:rFonts w:ascii="Calibri" w:hAnsi="Calibri" w:cs="Calibri"/>
                <w:b/>
                <w:bCs/>
                <w:sz w:val="22"/>
                <w:szCs w:val="22"/>
                <w:lang w:eastAsia="de-DE"/>
              </w:rPr>
            </w:pPr>
            <w:r>
              <w:rPr>
                <w:rFonts w:ascii="Calibri" w:hAnsi="Calibri" w:cs="Calibri"/>
                <w:b/>
                <w:bCs/>
                <w:sz w:val="22"/>
                <w:szCs w:val="22"/>
                <w:lang w:eastAsia="de-DE"/>
              </w:rPr>
              <w:t>2035</w:t>
            </w:r>
          </w:p>
        </w:tc>
        <w:tc>
          <w:tcPr>
            <w:tcW w:w="841" w:type="dxa"/>
            <w:tcBorders>
              <w:top w:val="nil"/>
              <w:left w:val="nil"/>
              <w:bottom w:val="single" w:sz="8" w:space="0" w:color="auto"/>
              <w:right w:val="single" w:sz="8" w:space="0" w:color="auto"/>
            </w:tcBorders>
            <w:shd w:val="clear" w:color="000000" w:fill="D8E4BC"/>
            <w:noWrap/>
            <w:vAlign w:val="bottom"/>
            <w:hideMark/>
          </w:tcPr>
          <w:p>
            <w:pPr>
              <w:jc w:val="right"/>
              <w:rPr>
                <w:rFonts w:ascii="Calibri" w:hAnsi="Calibri" w:cs="Calibri"/>
                <w:b/>
                <w:bCs/>
                <w:sz w:val="22"/>
                <w:szCs w:val="22"/>
                <w:lang w:eastAsia="de-DE"/>
              </w:rPr>
            </w:pPr>
            <w:r>
              <w:rPr>
                <w:rFonts w:ascii="Calibri" w:hAnsi="Calibri" w:cs="Calibri"/>
                <w:b/>
                <w:bCs/>
                <w:sz w:val="22"/>
                <w:szCs w:val="22"/>
                <w:lang w:eastAsia="de-DE"/>
              </w:rPr>
              <w:t>2040</w:t>
            </w:r>
          </w:p>
        </w:tc>
        <w:tc>
          <w:tcPr>
            <w:tcW w:w="851" w:type="dxa"/>
            <w:tcBorders>
              <w:top w:val="nil"/>
              <w:left w:val="nil"/>
              <w:bottom w:val="single" w:sz="8" w:space="0" w:color="auto"/>
              <w:right w:val="single" w:sz="8" w:space="0" w:color="auto"/>
            </w:tcBorders>
            <w:shd w:val="clear" w:color="000000" w:fill="D8E4BC"/>
            <w:noWrap/>
            <w:vAlign w:val="bottom"/>
            <w:hideMark/>
          </w:tcPr>
          <w:p>
            <w:pPr>
              <w:jc w:val="right"/>
              <w:rPr>
                <w:rFonts w:ascii="Calibri" w:hAnsi="Calibri" w:cs="Calibri"/>
                <w:b/>
                <w:bCs/>
                <w:sz w:val="22"/>
                <w:szCs w:val="22"/>
                <w:lang w:eastAsia="de-DE"/>
              </w:rPr>
            </w:pPr>
            <w:r>
              <w:rPr>
                <w:rFonts w:ascii="Calibri" w:hAnsi="Calibri" w:cs="Calibri"/>
                <w:b/>
                <w:bCs/>
                <w:sz w:val="22"/>
                <w:szCs w:val="22"/>
                <w:lang w:eastAsia="de-DE"/>
              </w:rPr>
              <w:t>2045</w:t>
            </w:r>
          </w:p>
        </w:tc>
        <w:tc>
          <w:tcPr>
            <w:tcW w:w="850" w:type="dxa"/>
            <w:tcBorders>
              <w:top w:val="nil"/>
              <w:left w:val="nil"/>
              <w:bottom w:val="single" w:sz="8" w:space="0" w:color="auto"/>
              <w:right w:val="single" w:sz="8" w:space="0" w:color="auto"/>
            </w:tcBorders>
            <w:shd w:val="clear" w:color="000000" w:fill="D8E4BC"/>
            <w:noWrap/>
            <w:vAlign w:val="bottom"/>
            <w:hideMark/>
          </w:tcPr>
          <w:p>
            <w:pPr>
              <w:jc w:val="right"/>
              <w:rPr>
                <w:rFonts w:ascii="Calibri" w:hAnsi="Calibri" w:cs="Calibri"/>
                <w:b/>
                <w:bCs/>
                <w:sz w:val="22"/>
                <w:szCs w:val="22"/>
                <w:lang w:eastAsia="de-DE"/>
              </w:rPr>
            </w:pPr>
            <w:r>
              <w:rPr>
                <w:rFonts w:ascii="Calibri" w:hAnsi="Calibri" w:cs="Calibri"/>
                <w:b/>
                <w:bCs/>
                <w:sz w:val="22"/>
                <w:szCs w:val="22"/>
                <w:lang w:eastAsia="de-DE"/>
              </w:rPr>
              <w:t>2050</w:t>
            </w:r>
          </w:p>
        </w:tc>
      </w:tr>
      <w:tr>
        <w:trPr>
          <w:trHeight w:val="255"/>
        </w:trPr>
        <w:tc>
          <w:tcPr>
            <w:tcW w:w="1691" w:type="dxa"/>
            <w:tcBorders>
              <w:top w:val="nil"/>
              <w:left w:val="single" w:sz="8" w:space="0" w:color="auto"/>
              <w:bottom w:val="single" w:sz="4" w:space="0" w:color="auto"/>
              <w:right w:val="single" w:sz="8" w:space="0" w:color="auto"/>
            </w:tcBorders>
            <w:shd w:val="clear" w:color="000000" w:fill="D8E4BC"/>
            <w:noWrap/>
            <w:vAlign w:val="bottom"/>
            <w:hideMark/>
          </w:tcPr>
          <w:p>
            <w:pPr>
              <w:jc w:val="left"/>
              <w:rPr>
                <w:rFonts w:ascii="Calibri" w:hAnsi="Calibri" w:cs="Calibri"/>
                <w:b/>
                <w:bCs/>
                <w:color w:val="000000"/>
                <w:sz w:val="22"/>
                <w:szCs w:val="22"/>
                <w:lang w:eastAsia="de-DE"/>
              </w:rPr>
            </w:pPr>
            <w:r>
              <w:rPr>
                <w:rFonts w:ascii="Calibri" w:hAnsi="Calibri" w:cs="Calibri"/>
                <w:b/>
                <w:bCs/>
                <w:color w:val="000000"/>
                <w:sz w:val="22"/>
                <w:szCs w:val="22"/>
                <w:lang w:eastAsia="de-DE"/>
              </w:rPr>
              <w:t>Ref</w:t>
            </w:r>
          </w:p>
        </w:tc>
        <w:tc>
          <w:tcPr>
            <w:tcW w:w="1701" w:type="dxa"/>
            <w:tcBorders>
              <w:top w:val="nil"/>
              <w:left w:val="nil"/>
              <w:bottom w:val="single" w:sz="4" w:space="0" w:color="auto"/>
              <w:right w:val="single" w:sz="8" w:space="0" w:color="auto"/>
            </w:tcBorders>
            <w:shd w:val="clear" w:color="000000" w:fill="D8E4BC"/>
            <w:noWrap/>
            <w:vAlign w:val="bottom"/>
            <w:hideMark/>
          </w:tcPr>
          <w:p>
            <w:pPr>
              <w:jc w:val="left"/>
              <w:rPr>
                <w:rFonts w:ascii="Calibri" w:hAnsi="Calibri" w:cs="Calibri"/>
                <w:color w:val="000000"/>
                <w:sz w:val="22"/>
                <w:szCs w:val="22"/>
                <w:lang w:eastAsia="de-DE"/>
              </w:rPr>
            </w:pPr>
            <w:r>
              <w:rPr>
                <w:rFonts w:ascii="Calibri" w:hAnsi="Calibri" w:cs="Calibri"/>
                <w:color w:val="000000"/>
                <w:sz w:val="22"/>
                <w:szCs w:val="22"/>
                <w:lang w:eastAsia="de-DE"/>
              </w:rPr>
              <w:t>Erdgas</w:t>
            </w:r>
          </w:p>
        </w:tc>
        <w:tc>
          <w:tcPr>
            <w:tcW w:w="1134"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2736</w:t>
            </w:r>
          </w:p>
        </w:tc>
        <w:tc>
          <w:tcPr>
            <w:tcW w:w="993"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2419</w:t>
            </w:r>
          </w:p>
        </w:tc>
        <w:tc>
          <w:tcPr>
            <w:tcW w:w="100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1248</w:t>
            </w:r>
          </w:p>
        </w:tc>
        <w:tc>
          <w:tcPr>
            <w:tcW w:w="84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938</w:t>
            </w:r>
          </w:p>
        </w:tc>
        <w:tc>
          <w:tcPr>
            <w:tcW w:w="85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52</w:t>
            </w:r>
          </w:p>
        </w:tc>
        <w:tc>
          <w:tcPr>
            <w:tcW w:w="850" w:type="dxa"/>
            <w:tcBorders>
              <w:top w:val="nil"/>
              <w:left w:val="nil"/>
              <w:bottom w:val="single" w:sz="4" w:space="0" w:color="auto"/>
              <w:right w:val="single" w:sz="8"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69</w:t>
            </w:r>
          </w:p>
        </w:tc>
      </w:tr>
      <w:tr>
        <w:trPr>
          <w:trHeight w:val="255"/>
        </w:trPr>
        <w:tc>
          <w:tcPr>
            <w:tcW w:w="1691" w:type="dxa"/>
            <w:tcBorders>
              <w:top w:val="nil"/>
              <w:left w:val="single" w:sz="8" w:space="0" w:color="auto"/>
              <w:bottom w:val="single" w:sz="4" w:space="0" w:color="auto"/>
              <w:right w:val="single" w:sz="8" w:space="0" w:color="auto"/>
            </w:tcBorders>
            <w:shd w:val="clear" w:color="000000" w:fill="D8E4BC"/>
            <w:noWrap/>
            <w:vAlign w:val="bottom"/>
            <w:hideMark/>
          </w:tcPr>
          <w:p>
            <w:pPr>
              <w:jc w:val="left"/>
              <w:rPr>
                <w:rFonts w:ascii="Calibri" w:hAnsi="Calibri" w:cs="Calibri"/>
                <w:b/>
                <w:bCs/>
                <w:color w:val="000000"/>
                <w:sz w:val="22"/>
                <w:szCs w:val="22"/>
                <w:lang w:eastAsia="de-DE"/>
              </w:rPr>
            </w:pPr>
            <w:r>
              <w:rPr>
                <w:rFonts w:ascii="Calibri" w:hAnsi="Calibri" w:cs="Calibri"/>
                <w:b/>
                <w:bCs/>
                <w:color w:val="000000"/>
                <w:sz w:val="22"/>
                <w:szCs w:val="22"/>
                <w:lang w:eastAsia="de-DE"/>
              </w:rPr>
              <w:t>Ref_KA2030</w:t>
            </w:r>
          </w:p>
        </w:tc>
        <w:tc>
          <w:tcPr>
            <w:tcW w:w="1701" w:type="dxa"/>
            <w:tcBorders>
              <w:top w:val="nil"/>
              <w:left w:val="nil"/>
              <w:bottom w:val="single" w:sz="4" w:space="0" w:color="auto"/>
              <w:right w:val="single" w:sz="8" w:space="0" w:color="auto"/>
            </w:tcBorders>
            <w:shd w:val="clear" w:color="000000" w:fill="D8E4BC"/>
            <w:noWrap/>
            <w:vAlign w:val="bottom"/>
            <w:hideMark/>
          </w:tcPr>
          <w:p>
            <w:pPr>
              <w:jc w:val="left"/>
              <w:rPr>
                <w:rFonts w:ascii="Calibri" w:hAnsi="Calibri" w:cs="Calibri"/>
                <w:color w:val="000000"/>
                <w:sz w:val="22"/>
                <w:szCs w:val="22"/>
                <w:lang w:eastAsia="de-DE"/>
              </w:rPr>
            </w:pPr>
            <w:r>
              <w:rPr>
                <w:rFonts w:ascii="Calibri" w:hAnsi="Calibri" w:cs="Calibri"/>
                <w:color w:val="000000"/>
                <w:sz w:val="22"/>
                <w:szCs w:val="22"/>
                <w:lang w:eastAsia="de-DE"/>
              </w:rPr>
              <w:t>Erdgas</w:t>
            </w:r>
          </w:p>
        </w:tc>
        <w:tc>
          <w:tcPr>
            <w:tcW w:w="1134"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2736</w:t>
            </w:r>
          </w:p>
        </w:tc>
        <w:tc>
          <w:tcPr>
            <w:tcW w:w="993"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2486</w:t>
            </w:r>
          </w:p>
        </w:tc>
        <w:tc>
          <w:tcPr>
            <w:tcW w:w="100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1250</w:t>
            </w:r>
          </w:p>
        </w:tc>
        <w:tc>
          <w:tcPr>
            <w:tcW w:w="84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935</w:t>
            </w:r>
          </w:p>
        </w:tc>
        <w:tc>
          <w:tcPr>
            <w:tcW w:w="85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52</w:t>
            </w:r>
          </w:p>
        </w:tc>
        <w:tc>
          <w:tcPr>
            <w:tcW w:w="850" w:type="dxa"/>
            <w:tcBorders>
              <w:top w:val="nil"/>
              <w:left w:val="nil"/>
              <w:bottom w:val="single" w:sz="4" w:space="0" w:color="auto"/>
              <w:right w:val="single" w:sz="8"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69</w:t>
            </w:r>
          </w:p>
        </w:tc>
      </w:tr>
      <w:tr>
        <w:trPr>
          <w:trHeight w:val="243"/>
        </w:trPr>
        <w:tc>
          <w:tcPr>
            <w:tcW w:w="1691" w:type="dxa"/>
            <w:tcBorders>
              <w:top w:val="nil"/>
              <w:left w:val="single" w:sz="8" w:space="0" w:color="auto"/>
              <w:bottom w:val="single" w:sz="4" w:space="0" w:color="auto"/>
              <w:right w:val="single" w:sz="8" w:space="0" w:color="auto"/>
            </w:tcBorders>
            <w:shd w:val="clear" w:color="000000" w:fill="D8E4BC"/>
            <w:noWrap/>
            <w:vAlign w:val="bottom"/>
            <w:hideMark/>
          </w:tcPr>
          <w:p>
            <w:pPr>
              <w:jc w:val="left"/>
              <w:rPr>
                <w:rFonts w:ascii="Calibri" w:hAnsi="Calibri" w:cs="Calibri"/>
                <w:b/>
                <w:bCs/>
                <w:color w:val="000000"/>
                <w:sz w:val="22"/>
                <w:szCs w:val="22"/>
                <w:lang w:eastAsia="de-DE"/>
              </w:rPr>
            </w:pPr>
            <w:r>
              <w:rPr>
                <w:rFonts w:ascii="Calibri" w:hAnsi="Calibri" w:cs="Calibri"/>
                <w:b/>
                <w:bCs/>
                <w:color w:val="000000"/>
                <w:sz w:val="22"/>
                <w:szCs w:val="22"/>
                <w:lang w:eastAsia="de-DE"/>
              </w:rPr>
              <w:t>E-Krise</w:t>
            </w:r>
          </w:p>
        </w:tc>
        <w:tc>
          <w:tcPr>
            <w:tcW w:w="1701" w:type="dxa"/>
            <w:tcBorders>
              <w:top w:val="nil"/>
              <w:left w:val="nil"/>
              <w:bottom w:val="single" w:sz="4" w:space="0" w:color="auto"/>
              <w:right w:val="single" w:sz="8" w:space="0" w:color="auto"/>
            </w:tcBorders>
            <w:shd w:val="clear" w:color="000000" w:fill="D8E4BC"/>
            <w:noWrap/>
            <w:vAlign w:val="bottom"/>
            <w:hideMark/>
          </w:tcPr>
          <w:p>
            <w:pPr>
              <w:jc w:val="left"/>
              <w:rPr>
                <w:rFonts w:ascii="Calibri" w:hAnsi="Calibri" w:cs="Calibri"/>
                <w:color w:val="000000"/>
                <w:sz w:val="22"/>
                <w:szCs w:val="22"/>
                <w:lang w:eastAsia="de-DE"/>
              </w:rPr>
            </w:pPr>
            <w:r>
              <w:rPr>
                <w:rFonts w:ascii="Calibri" w:hAnsi="Calibri" w:cs="Calibri"/>
                <w:color w:val="000000"/>
                <w:sz w:val="22"/>
                <w:szCs w:val="22"/>
                <w:lang w:eastAsia="de-DE"/>
              </w:rPr>
              <w:t>Erdgas</w:t>
            </w:r>
          </w:p>
        </w:tc>
        <w:tc>
          <w:tcPr>
            <w:tcW w:w="1134"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2010</w:t>
            </w:r>
          </w:p>
        </w:tc>
        <w:tc>
          <w:tcPr>
            <w:tcW w:w="993"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1497</w:t>
            </w:r>
          </w:p>
        </w:tc>
        <w:tc>
          <w:tcPr>
            <w:tcW w:w="100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885</w:t>
            </w:r>
          </w:p>
        </w:tc>
        <w:tc>
          <w:tcPr>
            <w:tcW w:w="84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626</w:t>
            </w:r>
          </w:p>
        </w:tc>
        <w:tc>
          <w:tcPr>
            <w:tcW w:w="85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0</w:t>
            </w:r>
          </w:p>
        </w:tc>
        <w:tc>
          <w:tcPr>
            <w:tcW w:w="850" w:type="dxa"/>
            <w:tcBorders>
              <w:top w:val="nil"/>
              <w:left w:val="nil"/>
              <w:bottom w:val="single" w:sz="4" w:space="0" w:color="auto"/>
              <w:right w:val="single" w:sz="8"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0</w:t>
            </w:r>
          </w:p>
        </w:tc>
      </w:tr>
      <w:tr>
        <w:trPr>
          <w:trHeight w:val="243"/>
        </w:trPr>
        <w:tc>
          <w:tcPr>
            <w:tcW w:w="1691" w:type="dxa"/>
            <w:tcBorders>
              <w:top w:val="nil"/>
              <w:left w:val="single" w:sz="8" w:space="0" w:color="auto"/>
              <w:bottom w:val="single" w:sz="4" w:space="0" w:color="auto"/>
              <w:right w:val="single" w:sz="8" w:space="0" w:color="auto"/>
            </w:tcBorders>
            <w:shd w:val="clear" w:color="000000" w:fill="D8E4BC"/>
            <w:noWrap/>
            <w:vAlign w:val="bottom"/>
            <w:hideMark/>
          </w:tcPr>
          <w:p>
            <w:pPr>
              <w:jc w:val="left"/>
              <w:rPr>
                <w:rFonts w:ascii="Calibri" w:hAnsi="Calibri" w:cs="Calibri"/>
                <w:b/>
                <w:bCs/>
                <w:color w:val="000000"/>
                <w:sz w:val="22"/>
                <w:szCs w:val="22"/>
                <w:lang w:eastAsia="de-DE"/>
              </w:rPr>
            </w:pPr>
            <w:r>
              <w:rPr>
                <w:rFonts w:ascii="Calibri" w:hAnsi="Calibri" w:cs="Calibri"/>
                <w:b/>
                <w:bCs/>
                <w:color w:val="000000"/>
                <w:sz w:val="22"/>
                <w:szCs w:val="22"/>
                <w:lang w:eastAsia="de-DE"/>
              </w:rPr>
              <w:t>E-Krise_KA2030</w:t>
            </w:r>
          </w:p>
        </w:tc>
        <w:tc>
          <w:tcPr>
            <w:tcW w:w="1701" w:type="dxa"/>
            <w:tcBorders>
              <w:top w:val="nil"/>
              <w:left w:val="nil"/>
              <w:bottom w:val="single" w:sz="4" w:space="0" w:color="auto"/>
              <w:right w:val="single" w:sz="8" w:space="0" w:color="auto"/>
            </w:tcBorders>
            <w:shd w:val="clear" w:color="000000" w:fill="D8E4BC"/>
            <w:noWrap/>
            <w:vAlign w:val="bottom"/>
            <w:hideMark/>
          </w:tcPr>
          <w:p>
            <w:pPr>
              <w:jc w:val="left"/>
              <w:rPr>
                <w:rFonts w:ascii="Calibri" w:hAnsi="Calibri" w:cs="Calibri"/>
                <w:color w:val="000000"/>
                <w:sz w:val="22"/>
                <w:szCs w:val="22"/>
                <w:lang w:eastAsia="de-DE"/>
              </w:rPr>
            </w:pPr>
            <w:r>
              <w:rPr>
                <w:rFonts w:ascii="Calibri" w:hAnsi="Calibri" w:cs="Calibri"/>
                <w:color w:val="000000"/>
                <w:sz w:val="22"/>
                <w:szCs w:val="22"/>
                <w:lang w:eastAsia="de-DE"/>
              </w:rPr>
              <w:t>Erdgas</w:t>
            </w:r>
          </w:p>
        </w:tc>
        <w:tc>
          <w:tcPr>
            <w:tcW w:w="1134"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2010</w:t>
            </w:r>
          </w:p>
        </w:tc>
        <w:tc>
          <w:tcPr>
            <w:tcW w:w="993"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1746</w:t>
            </w:r>
          </w:p>
        </w:tc>
        <w:tc>
          <w:tcPr>
            <w:tcW w:w="100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922</w:t>
            </w:r>
          </w:p>
        </w:tc>
        <w:tc>
          <w:tcPr>
            <w:tcW w:w="84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627</w:t>
            </w:r>
          </w:p>
        </w:tc>
        <w:tc>
          <w:tcPr>
            <w:tcW w:w="85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0</w:t>
            </w:r>
          </w:p>
        </w:tc>
        <w:tc>
          <w:tcPr>
            <w:tcW w:w="850" w:type="dxa"/>
            <w:tcBorders>
              <w:top w:val="nil"/>
              <w:left w:val="nil"/>
              <w:bottom w:val="single" w:sz="4" w:space="0" w:color="auto"/>
              <w:right w:val="single" w:sz="8"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0</w:t>
            </w:r>
          </w:p>
        </w:tc>
      </w:tr>
      <w:tr>
        <w:trPr>
          <w:trHeight w:val="243"/>
        </w:trPr>
        <w:tc>
          <w:tcPr>
            <w:tcW w:w="1691" w:type="dxa"/>
            <w:tcBorders>
              <w:top w:val="nil"/>
              <w:left w:val="single" w:sz="8" w:space="0" w:color="auto"/>
              <w:bottom w:val="single" w:sz="4" w:space="0" w:color="auto"/>
              <w:right w:val="single" w:sz="8" w:space="0" w:color="auto"/>
            </w:tcBorders>
            <w:shd w:val="clear" w:color="000000" w:fill="D8E4BC"/>
            <w:noWrap/>
            <w:vAlign w:val="bottom"/>
            <w:hideMark/>
          </w:tcPr>
          <w:p>
            <w:pPr>
              <w:jc w:val="left"/>
              <w:rPr>
                <w:rFonts w:ascii="Calibri" w:hAnsi="Calibri" w:cs="Calibri"/>
                <w:b/>
                <w:bCs/>
                <w:color w:val="000000"/>
                <w:sz w:val="22"/>
                <w:szCs w:val="22"/>
                <w:lang w:eastAsia="de-DE"/>
              </w:rPr>
            </w:pPr>
            <w:r>
              <w:rPr>
                <w:rFonts w:ascii="Calibri" w:hAnsi="Calibri" w:cs="Calibri"/>
                <w:b/>
                <w:bCs/>
                <w:color w:val="000000"/>
                <w:sz w:val="22"/>
                <w:szCs w:val="22"/>
                <w:lang w:eastAsia="de-DE"/>
              </w:rPr>
              <w:t>Ref</w:t>
            </w:r>
          </w:p>
        </w:tc>
        <w:tc>
          <w:tcPr>
            <w:tcW w:w="1701" w:type="dxa"/>
            <w:tcBorders>
              <w:top w:val="nil"/>
              <w:left w:val="nil"/>
              <w:bottom w:val="single" w:sz="4" w:space="0" w:color="auto"/>
              <w:right w:val="single" w:sz="8" w:space="0" w:color="auto"/>
            </w:tcBorders>
            <w:shd w:val="clear" w:color="000000" w:fill="D8E4BC"/>
            <w:noWrap/>
            <w:vAlign w:val="bottom"/>
            <w:hideMark/>
          </w:tcPr>
          <w:p>
            <w:pPr>
              <w:jc w:val="left"/>
              <w:rPr>
                <w:rFonts w:ascii="Calibri" w:hAnsi="Calibri" w:cs="Calibri"/>
                <w:color w:val="000000"/>
                <w:sz w:val="22"/>
                <w:szCs w:val="22"/>
                <w:lang w:eastAsia="de-DE"/>
              </w:rPr>
            </w:pPr>
            <w:r>
              <w:rPr>
                <w:rFonts w:ascii="Calibri" w:hAnsi="Calibri" w:cs="Calibri"/>
                <w:color w:val="000000"/>
                <w:sz w:val="22"/>
                <w:szCs w:val="22"/>
                <w:lang w:eastAsia="de-DE"/>
              </w:rPr>
              <w:t>Kohlen</w:t>
            </w:r>
          </w:p>
        </w:tc>
        <w:tc>
          <w:tcPr>
            <w:tcW w:w="1134"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1415</w:t>
            </w:r>
          </w:p>
        </w:tc>
        <w:tc>
          <w:tcPr>
            <w:tcW w:w="993"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234</w:t>
            </w:r>
          </w:p>
        </w:tc>
        <w:tc>
          <w:tcPr>
            <w:tcW w:w="100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189</w:t>
            </w:r>
          </w:p>
        </w:tc>
        <w:tc>
          <w:tcPr>
            <w:tcW w:w="84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34</w:t>
            </w:r>
          </w:p>
        </w:tc>
        <w:tc>
          <w:tcPr>
            <w:tcW w:w="85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11</w:t>
            </w:r>
          </w:p>
        </w:tc>
        <w:tc>
          <w:tcPr>
            <w:tcW w:w="850" w:type="dxa"/>
            <w:tcBorders>
              <w:top w:val="nil"/>
              <w:left w:val="nil"/>
              <w:bottom w:val="single" w:sz="4" w:space="0" w:color="auto"/>
              <w:right w:val="single" w:sz="8"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13</w:t>
            </w:r>
          </w:p>
        </w:tc>
      </w:tr>
      <w:tr>
        <w:trPr>
          <w:trHeight w:val="243"/>
        </w:trPr>
        <w:tc>
          <w:tcPr>
            <w:tcW w:w="1691" w:type="dxa"/>
            <w:tcBorders>
              <w:top w:val="nil"/>
              <w:left w:val="single" w:sz="8" w:space="0" w:color="auto"/>
              <w:bottom w:val="single" w:sz="4" w:space="0" w:color="auto"/>
              <w:right w:val="single" w:sz="8" w:space="0" w:color="auto"/>
            </w:tcBorders>
            <w:shd w:val="clear" w:color="000000" w:fill="D8E4BC"/>
            <w:noWrap/>
            <w:vAlign w:val="bottom"/>
            <w:hideMark/>
          </w:tcPr>
          <w:p>
            <w:pPr>
              <w:jc w:val="left"/>
              <w:rPr>
                <w:rFonts w:ascii="Calibri" w:hAnsi="Calibri" w:cs="Calibri"/>
                <w:b/>
                <w:bCs/>
                <w:color w:val="000000"/>
                <w:sz w:val="22"/>
                <w:szCs w:val="22"/>
                <w:lang w:eastAsia="de-DE"/>
              </w:rPr>
            </w:pPr>
            <w:r>
              <w:rPr>
                <w:rFonts w:ascii="Calibri" w:hAnsi="Calibri" w:cs="Calibri"/>
                <w:b/>
                <w:bCs/>
                <w:color w:val="000000"/>
                <w:sz w:val="22"/>
                <w:szCs w:val="22"/>
                <w:lang w:eastAsia="de-DE"/>
              </w:rPr>
              <w:t>Ref_KA2030</w:t>
            </w:r>
          </w:p>
        </w:tc>
        <w:tc>
          <w:tcPr>
            <w:tcW w:w="1701" w:type="dxa"/>
            <w:tcBorders>
              <w:top w:val="nil"/>
              <w:left w:val="nil"/>
              <w:bottom w:val="single" w:sz="4" w:space="0" w:color="auto"/>
              <w:right w:val="single" w:sz="8" w:space="0" w:color="auto"/>
            </w:tcBorders>
            <w:shd w:val="clear" w:color="000000" w:fill="D8E4BC"/>
            <w:noWrap/>
            <w:vAlign w:val="bottom"/>
            <w:hideMark/>
          </w:tcPr>
          <w:p>
            <w:pPr>
              <w:jc w:val="left"/>
              <w:rPr>
                <w:rFonts w:ascii="Calibri" w:hAnsi="Calibri" w:cs="Calibri"/>
                <w:color w:val="000000"/>
                <w:sz w:val="22"/>
                <w:szCs w:val="22"/>
                <w:lang w:eastAsia="de-DE"/>
              </w:rPr>
            </w:pPr>
            <w:r>
              <w:rPr>
                <w:rFonts w:ascii="Calibri" w:hAnsi="Calibri" w:cs="Calibri"/>
                <w:color w:val="000000"/>
                <w:sz w:val="22"/>
                <w:szCs w:val="22"/>
                <w:lang w:eastAsia="de-DE"/>
              </w:rPr>
              <w:t>Kohlen</w:t>
            </w:r>
          </w:p>
        </w:tc>
        <w:tc>
          <w:tcPr>
            <w:tcW w:w="1134"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1415</w:t>
            </w:r>
          </w:p>
        </w:tc>
        <w:tc>
          <w:tcPr>
            <w:tcW w:w="993"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167</w:t>
            </w:r>
          </w:p>
        </w:tc>
        <w:tc>
          <w:tcPr>
            <w:tcW w:w="100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101</w:t>
            </w:r>
          </w:p>
        </w:tc>
        <w:tc>
          <w:tcPr>
            <w:tcW w:w="84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39</w:t>
            </w:r>
          </w:p>
        </w:tc>
        <w:tc>
          <w:tcPr>
            <w:tcW w:w="85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11</w:t>
            </w:r>
          </w:p>
        </w:tc>
        <w:tc>
          <w:tcPr>
            <w:tcW w:w="850" w:type="dxa"/>
            <w:tcBorders>
              <w:top w:val="nil"/>
              <w:left w:val="nil"/>
              <w:bottom w:val="single" w:sz="4" w:space="0" w:color="auto"/>
              <w:right w:val="single" w:sz="8"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13</w:t>
            </w:r>
          </w:p>
        </w:tc>
      </w:tr>
      <w:tr>
        <w:trPr>
          <w:trHeight w:val="243"/>
        </w:trPr>
        <w:tc>
          <w:tcPr>
            <w:tcW w:w="1691" w:type="dxa"/>
            <w:tcBorders>
              <w:top w:val="nil"/>
              <w:left w:val="single" w:sz="8" w:space="0" w:color="auto"/>
              <w:bottom w:val="single" w:sz="4" w:space="0" w:color="auto"/>
              <w:right w:val="single" w:sz="8" w:space="0" w:color="auto"/>
            </w:tcBorders>
            <w:shd w:val="clear" w:color="000000" w:fill="D8E4BC"/>
            <w:noWrap/>
            <w:vAlign w:val="bottom"/>
            <w:hideMark/>
          </w:tcPr>
          <w:p>
            <w:pPr>
              <w:jc w:val="left"/>
              <w:rPr>
                <w:rFonts w:ascii="Calibri" w:hAnsi="Calibri" w:cs="Calibri"/>
                <w:b/>
                <w:bCs/>
                <w:color w:val="000000"/>
                <w:sz w:val="22"/>
                <w:szCs w:val="22"/>
                <w:lang w:eastAsia="de-DE"/>
              </w:rPr>
            </w:pPr>
            <w:r>
              <w:rPr>
                <w:rFonts w:ascii="Calibri" w:hAnsi="Calibri" w:cs="Calibri"/>
                <w:b/>
                <w:bCs/>
                <w:color w:val="000000"/>
                <w:sz w:val="22"/>
                <w:szCs w:val="22"/>
                <w:lang w:eastAsia="de-DE"/>
              </w:rPr>
              <w:t>E-Krise</w:t>
            </w:r>
          </w:p>
        </w:tc>
        <w:tc>
          <w:tcPr>
            <w:tcW w:w="1701" w:type="dxa"/>
            <w:tcBorders>
              <w:top w:val="nil"/>
              <w:left w:val="nil"/>
              <w:bottom w:val="single" w:sz="4" w:space="0" w:color="auto"/>
              <w:right w:val="single" w:sz="8" w:space="0" w:color="auto"/>
            </w:tcBorders>
            <w:shd w:val="clear" w:color="000000" w:fill="D8E4BC"/>
            <w:noWrap/>
            <w:vAlign w:val="bottom"/>
            <w:hideMark/>
          </w:tcPr>
          <w:p>
            <w:pPr>
              <w:jc w:val="left"/>
              <w:rPr>
                <w:rFonts w:ascii="Calibri" w:hAnsi="Calibri" w:cs="Calibri"/>
                <w:color w:val="000000"/>
                <w:sz w:val="22"/>
                <w:szCs w:val="22"/>
                <w:lang w:eastAsia="de-DE"/>
              </w:rPr>
            </w:pPr>
            <w:r>
              <w:rPr>
                <w:rFonts w:ascii="Calibri" w:hAnsi="Calibri" w:cs="Calibri"/>
                <w:color w:val="000000"/>
                <w:sz w:val="22"/>
                <w:szCs w:val="22"/>
                <w:lang w:eastAsia="de-DE"/>
              </w:rPr>
              <w:t>Kohlen</w:t>
            </w:r>
          </w:p>
        </w:tc>
        <w:tc>
          <w:tcPr>
            <w:tcW w:w="1134"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1617</w:t>
            </w:r>
          </w:p>
        </w:tc>
        <w:tc>
          <w:tcPr>
            <w:tcW w:w="993"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867</w:t>
            </w:r>
          </w:p>
        </w:tc>
        <w:tc>
          <w:tcPr>
            <w:tcW w:w="100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264</w:t>
            </w:r>
          </w:p>
        </w:tc>
        <w:tc>
          <w:tcPr>
            <w:tcW w:w="84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188</w:t>
            </w:r>
          </w:p>
        </w:tc>
        <w:tc>
          <w:tcPr>
            <w:tcW w:w="851" w:type="dxa"/>
            <w:tcBorders>
              <w:top w:val="nil"/>
              <w:left w:val="nil"/>
              <w:bottom w:val="single" w:sz="4"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13</w:t>
            </w:r>
          </w:p>
        </w:tc>
        <w:tc>
          <w:tcPr>
            <w:tcW w:w="850" w:type="dxa"/>
            <w:tcBorders>
              <w:top w:val="nil"/>
              <w:left w:val="nil"/>
              <w:bottom w:val="single" w:sz="4" w:space="0" w:color="auto"/>
              <w:right w:val="single" w:sz="8"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17</w:t>
            </w:r>
          </w:p>
        </w:tc>
      </w:tr>
      <w:tr>
        <w:trPr>
          <w:trHeight w:val="255"/>
        </w:trPr>
        <w:tc>
          <w:tcPr>
            <w:tcW w:w="1691" w:type="dxa"/>
            <w:tcBorders>
              <w:top w:val="nil"/>
              <w:left w:val="single" w:sz="8" w:space="0" w:color="auto"/>
              <w:bottom w:val="single" w:sz="8" w:space="0" w:color="auto"/>
              <w:right w:val="single" w:sz="8" w:space="0" w:color="auto"/>
            </w:tcBorders>
            <w:shd w:val="clear" w:color="000000" w:fill="D8E4BC"/>
            <w:noWrap/>
            <w:vAlign w:val="bottom"/>
            <w:hideMark/>
          </w:tcPr>
          <w:p>
            <w:pPr>
              <w:jc w:val="left"/>
              <w:rPr>
                <w:rFonts w:ascii="Calibri" w:hAnsi="Calibri" w:cs="Calibri"/>
                <w:b/>
                <w:bCs/>
                <w:color w:val="000000"/>
                <w:sz w:val="22"/>
                <w:szCs w:val="22"/>
                <w:lang w:eastAsia="de-DE"/>
              </w:rPr>
            </w:pPr>
            <w:r>
              <w:rPr>
                <w:rFonts w:ascii="Calibri" w:hAnsi="Calibri" w:cs="Calibri"/>
                <w:b/>
                <w:bCs/>
                <w:color w:val="000000"/>
                <w:sz w:val="22"/>
                <w:szCs w:val="22"/>
                <w:lang w:eastAsia="de-DE"/>
              </w:rPr>
              <w:t>E-Krise_KA2030</w:t>
            </w:r>
          </w:p>
        </w:tc>
        <w:tc>
          <w:tcPr>
            <w:tcW w:w="1701" w:type="dxa"/>
            <w:tcBorders>
              <w:top w:val="nil"/>
              <w:left w:val="nil"/>
              <w:bottom w:val="single" w:sz="8" w:space="0" w:color="auto"/>
              <w:right w:val="single" w:sz="8" w:space="0" w:color="auto"/>
            </w:tcBorders>
            <w:shd w:val="clear" w:color="000000" w:fill="D8E4BC"/>
            <w:noWrap/>
            <w:vAlign w:val="bottom"/>
            <w:hideMark/>
          </w:tcPr>
          <w:p>
            <w:pPr>
              <w:jc w:val="left"/>
              <w:rPr>
                <w:rFonts w:ascii="Calibri" w:hAnsi="Calibri" w:cs="Calibri"/>
                <w:color w:val="000000"/>
                <w:sz w:val="22"/>
                <w:szCs w:val="22"/>
                <w:lang w:eastAsia="de-DE"/>
              </w:rPr>
            </w:pPr>
            <w:r>
              <w:rPr>
                <w:rFonts w:ascii="Calibri" w:hAnsi="Calibri" w:cs="Calibri"/>
                <w:color w:val="000000"/>
                <w:sz w:val="22"/>
                <w:szCs w:val="22"/>
                <w:lang w:eastAsia="de-DE"/>
              </w:rPr>
              <w:t>Kohlen</w:t>
            </w:r>
          </w:p>
        </w:tc>
        <w:tc>
          <w:tcPr>
            <w:tcW w:w="1134" w:type="dxa"/>
            <w:tcBorders>
              <w:top w:val="single" w:sz="4" w:space="0" w:color="auto"/>
              <w:left w:val="nil"/>
              <w:bottom w:val="single" w:sz="8"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1611</w:t>
            </w:r>
          </w:p>
        </w:tc>
        <w:tc>
          <w:tcPr>
            <w:tcW w:w="993" w:type="dxa"/>
            <w:tcBorders>
              <w:top w:val="single" w:sz="4" w:space="0" w:color="auto"/>
              <w:left w:val="nil"/>
              <w:bottom w:val="single" w:sz="8"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225</w:t>
            </w:r>
          </w:p>
        </w:tc>
        <w:tc>
          <w:tcPr>
            <w:tcW w:w="1001" w:type="dxa"/>
            <w:tcBorders>
              <w:top w:val="single" w:sz="4" w:space="0" w:color="auto"/>
              <w:left w:val="nil"/>
              <w:bottom w:val="single" w:sz="8"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134</w:t>
            </w:r>
          </w:p>
        </w:tc>
        <w:tc>
          <w:tcPr>
            <w:tcW w:w="841" w:type="dxa"/>
            <w:tcBorders>
              <w:top w:val="single" w:sz="4" w:space="0" w:color="auto"/>
              <w:left w:val="nil"/>
              <w:bottom w:val="single" w:sz="8"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184</w:t>
            </w:r>
          </w:p>
        </w:tc>
        <w:tc>
          <w:tcPr>
            <w:tcW w:w="851" w:type="dxa"/>
            <w:tcBorders>
              <w:top w:val="single" w:sz="4" w:space="0" w:color="auto"/>
              <w:left w:val="nil"/>
              <w:bottom w:val="single" w:sz="8" w:space="0" w:color="auto"/>
              <w:right w:val="single" w:sz="4"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13</w:t>
            </w:r>
          </w:p>
        </w:tc>
        <w:tc>
          <w:tcPr>
            <w:tcW w:w="850" w:type="dxa"/>
            <w:tcBorders>
              <w:top w:val="nil"/>
              <w:left w:val="single" w:sz="4" w:space="0" w:color="auto"/>
              <w:bottom w:val="single" w:sz="8" w:space="0" w:color="auto"/>
              <w:right w:val="single" w:sz="8" w:space="0" w:color="auto"/>
            </w:tcBorders>
            <w:shd w:val="clear" w:color="000000" w:fill="EBF1DE"/>
            <w:noWrap/>
            <w:vAlign w:val="bottom"/>
            <w:hideMark/>
          </w:tcPr>
          <w:p>
            <w:pPr>
              <w:jc w:val="right"/>
              <w:rPr>
                <w:rFonts w:ascii="Calibri" w:hAnsi="Calibri" w:cs="Calibri"/>
                <w:color w:val="000000"/>
                <w:sz w:val="22"/>
                <w:szCs w:val="22"/>
                <w:lang w:eastAsia="de-DE"/>
              </w:rPr>
            </w:pPr>
            <w:r>
              <w:rPr>
                <w:rFonts w:ascii="Calibri" w:hAnsi="Calibri" w:cs="Calibri"/>
                <w:color w:val="000000"/>
                <w:sz w:val="22"/>
                <w:szCs w:val="22"/>
                <w:lang w:eastAsia="de-DE"/>
              </w:rPr>
              <w:t>16</w:t>
            </w:r>
          </w:p>
        </w:tc>
      </w:tr>
    </w:tbl>
    <w:p/>
    <w:p/>
    <w:p>
      <w:r>
        <w:t>Betrachtet man das Gesamt-System, so ergeben sich im Fall des Energiekrisen-Szenarios im Zeitraum von 2025-2040 leicht höhere Emissionen gegenüber dem Referenzszenario auf Grund der größeren Nutzung von Kohle und Öl. Tabelle 1 zeigt, dass gerade im Jahr 2030 die Nutzung von Kohlen im E-Krisen-Szenario deutlich erhöht ist, während der Gasverbrauch deutlich zurückgeht. Durch einen ordnungsrechtlichen Kohleausstieg für die Stromerzeugung sinken die Emissionen in diesem Zeitraum gegenüber dem Referenzszenario deutlich, allerdings steigen dadurch auch die gesamten Systemkosten an. Zudem muss unter anderem auch mehr Gas Der klimapolitisch notwendige Kohleausstieg 2030 erhöht allerdings den Handlungsdruck nochmals auf die Fernwärmeversorger deutlich, so dass in diesem Fall mehr auf Gas für KWK und Fernwärmeerzeugung aufgebracht werden, um die wegfallenden Kohle-KWK-Kapazitäten zu ersetzen.</w:t>
      </w:r>
    </w:p>
    <w:p>
      <w:r>
        <w:br w:type="page"/>
      </w:r>
    </w:p>
    <w:p>
      <w:pPr>
        <w:pStyle w:val="Ueberschrift"/>
      </w:pPr>
      <w:bookmarkStart w:id="1" w:name="_Toc26086066"/>
      <w:bookmarkStart w:id="2" w:name="_Toc68418491"/>
      <w:r>
        <w:lastRenderedPageBreak/>
        <w:t>Literatur</w:t>
      </w:r>
      <w:bookmarkEnd w:id="1"/>
      <w:bookmarkEnd w:id="2"/>
    </w:p>
    <w:p>
      <w:pPr>
        <w:rPr>
          <w:rFonts w:ascii="Times New Roman" w:hAnsi="Times New Roman"/>
          <w:noProof/>
          <w:szCs w:val="20"/>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
        <w:gridCol w:w="8864"/>
      </w:tblGrid>
      <w:tr>
        <w:trPr>
          <w:divId w:val="758448792"/>
          <w:tblCellSpacing w:w="15" w:type="dxa"/>
        </w:trPr>
        <w:tc>
          <w:tcPr>
            <w:tcW w:w="50" w:type="pct"/>
            <w:hideMark/>
          </w:tcPr>
          <w:p>
            <w:pPr>
              <w:pStyle w:val="Bibliography"/>
              <w:rPr>
                <w:noProof/>
                <w:sz w:val="24"/>
                <w:lang w:val="en-US"/>
              </w:rPr>
            </w:pPr>
            <w:r>
              <w:rPr>
                <w:noProof/>
                <w:lang w:val="en-US"/>
              </w:rPr>
              <w:t xml:space="preserve">[1] </w:t>
            </w:r>
          </w:p>
        </w:tc>
        <w:tc>
          <w:tcPr>
            <w:tcW w:w="0" w:type="auto"/>
            <w:hideMark/>
          </w:tcPr>
          <w:p>
            <w:pPr>
              <w:pStyle w:val="Bibliography"/>
              <w:rPr>
                <w:noProof/>
              </w:rPr>
            </w:pPr>
            <w:r>
              <w:rPr>
                <w:noProof/>
              </w:rPr>
              <w:t>G. Luderer, F. Bartels, M. Blesl, A. Burkhardt, O. Edenhofer, U. Fahl, A. Gillich, A. Herbst, K. Hufendiek, M. Kaiser, L. Kittel, F. Koller, C. Kost, R. C. Pietzcker and M. Rehfeldt, "Deutschland auf dem Weg aus der Gaskrise: Wie sich Klimaschutz und Energiesouveränität vereinen lassen," Kopernikus-Projekt Ariadne, Potsdam, 2022.</w:t>
            </w:r>
          </w:p>
        </w:tc>
      </w:tr>
      <w:tr>
        <w:trPr>
          <w:divId w:val="758448792"/>
          <w:tblCellSpacing w:w="15" w:type="dxa"/>
        </w:trPr>
        <w:tc>
          <w:tcPr>
            <w:tcW w:w="50" w:type="pct"/>
            <w:hideMark/>
          </w:tcPr>
          <w:p>
            <w:pPr>
              <w:pStyle w:val="Bibliography"/>
              <w:rPr>
                <w:noProof/>
                <w:lang w:val="en-US"/>
              </w:rPr>
            </w:pPr>
            <w:r>
              <w:rPr>
                <w:noProof/>
                <w:lang w:val="en-US"/>
              </w:rPr>
              <w:t xml:space="preserve">[2] </w:t>
            </w:r>
          </w:p>
        </w:tc>
        <w:tc>
          <w:tcPr>
            <w:tcW w:w="0" w:type="auto"/>
            <w:hideMark/>
          </w:tcPr>
          <w:p>
            <w:pPr>
              <w:pStyle w:val="Bibliography"/>
              <w:rPr>
                <w:noProof/>
                <w:lang w:val="en-US"/>
              </w:rPr>
            </w:pPr>
            <w:r>
              <w:rPr>
                <w:noProof/>
                <w:lang w:val="en-US"/>
              </w:rPr>
              <w:t xml:space="preserve">F. Kattelmann, J. Siegle, R. Cunha Montenegro, V. Sehn, M. Blesl and U. Fahl, "How to Reach the New Green Deal Targets: Analysing the Necessary Burden Sharing within the EU Using a Multi-Model Approach," </w:t>
            </w:r>
            <w:r>
              <w:rPr>
                <w:i/>
                <w:iCs/>
                <w:noProof/>
                <w:lang w:val="en-US"/>
              </w:rPr>
              <w:t xml:space="preserve">Energies, </w:t>
            </w:r>
            <w:r>
              <w:rPr>
                <w:noProof/>
                <w:lang w:val="en-US"/>
              </w:rPr>
              <w:t xml:space="preserve">vol. 14, no. 23, p. 7971, 2021. </w:t>
            </w:r>
          </w:p>
        </w:tc>
      </w:tr>
    </w:tbl>
    <w:p>
      <w:pPr>
        <w:divId w:val="758448792"/>
        <w:rPr>
          <w:noProof/>
          <w:lang w:val="en-US"/>
        </w:rPr>
      </w:pPr>
    </w:p>
    <w:p>
      <w:pPr>
        <w:rPr>
          <w:lang w:val="en-US"/>
        </w:rPr>
      </w:pPr>
    </w:p>
    <w:p>
      <w:pPr>
        <w:pStyle w:val="Literatur"/>
        <w:rPr>
          <w:lang w:val="en-US"/>
        </w:rPr>
      </w:pP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6019506-64D3-4F9D-A535-9BDA7AF6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Cs w:val="24"/>
      <w:lang w:eastAsia="ko-KR"/>
    </w:rPr>
  </w:style>
  <w:style w:type="paragraph" w:styleId="Heading1">
    <w:name w:val="heading 1"/>
    <w:basedOn w:val="Normal"/>
    <w:next w:val="Normal"/>
    <w:link w:val="Heading1Char"/>
    <w:uiPriority w:val="9"/>
    <w:qFormat/>
    <w:pPr>
      <w:keepNext/>
      <w:keepLines/>
      <w:spacing w:before="240" w:line="259" w:lineRule="auto"/>
      <w:jc w:val="left"/>
      <w:outlineLvl w:val="0"/>
    </w:pPr>
    <w:rPr>
      <w:rFonts w:ascii="Calibri Light" w:hAnsi="Calibri Light"/>
      <w:color w:val="2E74B5"/>
      <w:sz w:val="32"/>
      <w:szCs w:val="3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aliases w:val="Footnote Reference Number,-E Fußnotenzeichen,(Diplomarbeit FZ),(Diplomarbeit FZ)1,(Diplomarbeit FZ)2,(Diplomarbeit FZ)3,(Diplomarbeit FZ)4,(Diplomarbeit FZ)5,(Diplomarbeit FZ)6,(Diplomarbeit FZ)7,(Diplomarbeit FZ)8,(Diplomarbeit FZ)9"/>
    <w:semiHidden/>
    <w:rPr>
      <w:vertAlign w:val="superscript"/>
    </w:rPr>
  </w:style>
  <w:style w:type="paragraph" w:styleId="Title">
    <w:name w:val="Title"/>
    <w:basedOn w:val="Normal"/>
    <w:link w:val="TitleChar"/>
    <w:qFormat/>
    <w:pPr>
      <w:pageBreakBefore/>
      <w:spacing w:before="120" w:after="120"/>
      <w:jc w:val="center"/>
    </w:pPr>
    <w:rPr>
      <w:b/>
      <w:snapToGrid w:val="0"/>
      <w:kern w:val="28"/>
      <w:sz w:val="32"/>
      <w:szCs w:val="20"/>
      <w:lang w:eastAsia="en-US"/>
    </w:rPr>
  </w:style>
  <w:style w:type="numbering" w:customStyle="1" w:styleId="Aufzhlung">
    <w:name w:val="Aufzählung"/>
    <w:basedOn w:val="NoList"/>
    <w:pPr>
      <w:numPr>
        <w:numId w:val="2"/>
      </w:numPr>
    </w:pPr>
  </w:style>
  <w:style w:type="paragraph" w:customStyle="1" w:styleId="Abbildungsbeschriftung">
    <w:name w:val="Abbildungsbeschriftung"/>
    <w:basedOn w:val="Normal"/>
    <w:rPr>
      <w:i/>
      <w:iCs/>
    </w:rPr>
  </w:style>
  <w:style w:type="character" w:customStyle="1" w:styleId="TitleChar">
    <w:name w:val="Title Char"/>
    <w:link w:val="Title"/>
    <w:rPr>
      <w:rFonts w:ascii="Arial" w:hAnsi="Arial"/>
      <w:b/>
      <w:snapToGrid w:val="0"/>
      <w:kern w:val="28"/>
      <w:sz w:val="32"/>
      <w:lang w:val="de-DE" w:eastAsia="en-US" w:bidi="ar-SA"/>
    </w:rPr>
  </w:style>
  <w:style w:type="paragraph" w:customStyle="1" w:styleId="Ueberschrift">
    <w:name w:val="Ueberschrift"/>
    <w:basedOn w:val="Normal"/>
    <w:link w:val="UeberschriftChar"/>
    <w:pPr>
      <w:spacing w:before="120" w:after="120"/>
    </w:pPr>
    <w:rPr>
      <w:b/>
      <w:spacing w:val="-5"/>
      <w:sz w:val="22"/>
      <w:lang w:eastAsia="de-DE"/>
    </w:rPr>
  </w:style>
  <w:style w:type="character" w:customStyle="1" w:styleId="Heading1Char">
    <w:name w:val="Heading 1 Char"/>
    <w:link w:val="Heading1"/>
    <w:uiPriority w:val="9"/>
    <w:rPr>
      <w:rFonts w:ascii="Calibri Light" w:hAnsi="Calibri Light"/>
      <w:color w:val="2E74B5"/>
      <w:sz w:val="32"/>
      <w:szCs w:val="32"/>
      <w:lang w:val="en-US" w:eastAsia="en-US"/>
    </w:rPr>
  </w:style>
  <w:style w:type="character" w:customStyle="1" w:styleId="UeberschriftChar">
    <w:name w:val="Ueberschrift Char"/>
    <w:link w:val="Ueberschrift"/>
    <w:rPr>
      <w:rFonts w:ascii="Arial" w:hAnsi="Arial"/>
      <w:b/>
      <w:spacing w:val="-5"/>
      <w:sz w:val="22"/>
      <w:szCs w:val="24"/>
      <w:lang w:val="de-DE" w:eastAsia="de-DE" w:bidi="ar-SA"/>
    </w:rPr>
  </w:style>
  <w:style w:type="paragraph" w:customStyle="1" w:styleId="Abstract-Titel">
    <w:name w:val="Abstract-Titel"/>
    <w:basedOn w:val="Title"/>
    <w:rPr>
      <w:rFonts w:cs="Arial"/>
    </w:rPr>
  </w:style>
  <w:style w:type="paragraph" w:customStyle="1" w:styleId="AutorenOrganisation">
    <w:name w:val="Autoren &amp; Organisation"/>
    <w:basedOn w:val="Normal"/>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styleId="Bibliography">
    <w:name w:val="Bibliography"/>
    <w:basedOn w:val="Normal"/>
    <w:next w:val="Normal"/>
    <w:uiPriority w:val="37"/>
    <w:unhideWhenUsed/>
  </w:style>
  <w:style w:type="paragraph" w:styleId="Caption">
    <w:name w:val="caption"/>
    <w:basedOn w:val="Normal"/>
    <w:next w:val="Normal"/>
    <w:uiPriority w:val="35"/>
    <w:unhideWhenUsed/>
    <w:qFormat/>
    <w:rPr>
      <w:b/>
      <w:bCs/>
      <w:szCs w:val="20"/>
    </w:rPr>
  </w:style>
  <w:style w:type="paragraph" w:customStyle="1" w:styleId="Literatur">
    <w:name w:val="Literatur"/>
    <w:basedOn w:val="Normal"/>
    <w:pPr>
      <w:ind w:left="284" w:hanging="284"/>
    </w:pPr>
    <w:rPr>
      <w:rFonts w:cs="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7081">
      <w:bodyDiv w:val="1"/>
      <w:marLeft w:val="0"/>
      <w:marRight w:val="0"/>
      <w:marTop w:val="0"/>
      <w:marBottom w:val="0"/>
      <w:divBdr>
        <w:top w:val="none" w:sz="0" w:space="0" w:color="auto"/>
        <w:left w:val="none" w:sz="0" w:space="0" w:color="auto"/>
        <w:bottom w:val="none" w:sz="0" w:space="0" w:color="auto"/>
        <w:right w:val="none" w:sz="0" w:space="0" w:color="auto"/>
      </w:divBdr>
    </w:div>
    <w:div w:id="393623898">
      <w:bodyDiv w:val="1"/>
      <w:marLeft w:val="0"/>
      <w:marRight w:val="0"/>
      <w:marTop w:val="0"/>
      <w:marBottom w:val="0"/>
      <w:divBdr>
        <w:top w:val="none" w:sz="0" w:space="0" w:color="auto"/>
        <w:left w:val="none" w:sz="0" w:space="0" w:color="auto"/>
        <w:bottom w:val="none" w:sz="0" w:space="0" w:color="auto"/>
        <w:right w:val="none" w:sz="0" w:space="0" w:color="auto"/>
      </w:divBdr>
    </w:div>
    <w:div w:id="758448792">
      <w:bodyDiv w:val="1"/>
      <w:marLeft w:val="0"/>
      <w:marRight w:val="0"/>
      <w:marTop w:val="0"/>
      <w:marBottom w:val="0"/>
      <w:divBdr>
        <w:top w:val="none" w:sz="0" w:space="0" w:color="auto"/>
        <w:left w:val="none" w:sz="0" w:space="0" w:color="auto"/>
        <w:bottom w:val="none" w:sz="0" w:space="0" w:color="auto"/>
        <w:right w:val="none" w:sz="0" w:space="0" w:color="auto"/>
      </w:divBdr>
    </w:div>
    <w:div w:id="881984576">
      <w:bodyDiv w:val="1"/>
      <w:marLeft w:val="0"/>
      <w:marRight w:val="0"/>
      <w:marTop w:val="0"/>
      <w:marBottom w:val="0"/>
      <w:divBdr>
        <w:top w:val="none" w:sz="0" w:space="0" w:color="auto"/>
        <w:left w:val="none" w:sz="0" w:space="0" w:color="auto"/>
        <w:bottom w:val="none" w:sz="0" w:space="0" w:color="auto"/>
        <w:right w:val="none" w:sz="0" w:space="0" w:color="auto"/>
      </w:divBdr>
    </w:div>
    <w:div w:id="1505701800">
      <w:bodyDiv w:val="1"/>
      <w:marLeft w:val="0"/>
      <w:marRight w:val="0"/>
      <w:marTop w:val="0"/>
      <w:marBottom w:val="0"/>
      <w:divBdr>
        <w:top w:val="none" w:sz="0" w:space="0" w:color="auto"/>
        <w:left w:val="none" w:sz="0" w:space="0" w:color="auto"/>
        <w:bottom w:val="none" w:sz="0" w:space="0" w:color="auto"/>
        <w:right w:val="none" w:sz="0" w:space="0" w:color="auto"/>
      </w:divBdr>
    </w:div>
    <w:div w:id="1753701470">
      <w:bodyDiv w:val="1"/>
      <w:marLeft w:val="0"/>
      <w:marRight w:val="0"/>
      <w:marTop w:val="0"/>
      <w:marBottom w:val="0"/>
      <w:divBdr>
        <w:top w:val="none" w:sz="0" w:space="0" w:color="auto"/>
        <w:left w:val="none" w:sz="0" w:space="0" w:color="auto"/>
        <w:bottom w:val="none" w:sz="0" w:space="0" w:color="auto"/>
        <w:right w:val="none" w:sz="0" w:space="0" w:color="auto"/>
      </w:divBdr>
    </w:div>
    <w:div w:id="214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themeOverride" Target="../theme/themeOverride1.xml"/><Relationship Id="rId5" Type="http://schemas.openxmlformats.org/officeDocument/2006/relationships/package" Target="../embeddings/Microsoft_Excel_Worksheet.xlsx"/><Relationship Id="rId4" Type="http://schemas.openxmlformats.org/officeDocument/2006/relationships/image" Target="../media/image3.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de-DE"/>
              <a:t>Erdgasverbrauch öffentlicher KWK-Anlagen</a:t>
            </a:r>
          </a:p>
        </c:rich>
      </c:tx>
      <c:overlay val="0"/>
      <c:spPr>
        <a:noFill/>
        <a:ln w="25381">
          <a:noFill/>
        </a:ln>
      </c:spPr>
    </c:title>
    <c:autoTitleDeleted val="0"/>
    <c:plotArea>
      <c:layout/>
      <c:barChart>
        <c:barDir val="col"/>
        <c:grouping val="clustered"/>
        <c:varyColors val="0"/>
        <c:ser>
          <c:idx val="0"/>
          <c:order val="0"/>
          <c:tx>
            <c:strRef>
              <c:f>'Grafik erstellen'!$R$37</c:f>
              <c:strCache>
                <c:ptCount val="1"/>
                <c:pt idx="0">
                  <c:v>Ref</c:v>
                </c:pt>
              </c:strCache>
            </c:strRef>
          </c:tx>
          <c:spPr>
            <a:pattFill prst="smGrid">
              <a:fgClr>
                <a:schemeClr val="accent1"/>
              </a:fgClr>
              <a:bgClr>
                <a:schemeClr val="accent1">
                  <a:lumMod val="40000"/>
                  <a:lumOff val="6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ash"/>
            </a:ln>
            <a:effectLst/>
          </c:spPr>
          <c:invertIfNegative val="0"/>
          <c:cat>
            <c:numRef>
              <c:f>'Grafik erstellen'!$U$36:$AA$36</c:f>
              <c:numCache>
                <c:formatCode>General</c:formatCode>
                <c:ptCount val="7"/>
                <c:pt idx="0">
                  <c:v>2020</c:v>
                </c:pt>
                <c:pt idx="1">
                  <c:v>2025</c:v>
                </c:pt>
                <c:pt idx="2">
                  <c:v>2030</c:v>
                </c:pt>
                <c:pt idx="3">
                  <c:v>2035</c:v>
                </c:pt>
                <c:pt idx="4">
                  <c:v>2040</c:v>
                </c:pt>
                <c:pt idx="5">
                  <c:v>2045</c:v>
                </c:pt>
                <c:pt idx="6">
                  <c:v>2050</c:v>
                </c:pt>
              </c:numCache>
            </c:numRef>
          </c:cat>
          <c:val>
            <c:numRef>
              <c:f>'Grafik erstellen'!$U$37:$AA$37</c:f>
              <c:numCache>
                <c:formatCode>General</c:formatCode>
                <c:ptCount val="7"/>
                <c:pt idx="0">
                  <c:v>543.60025487202086</c:v>
                </c:pt>
                <c:pt idx="1">
                  <c:v>628.55949024061158</c:v>
                </c:pt>
                <c:pt idx="2">
                  <c:v>590.01481455910277</c:v>
                </c:pt>
                <c:pt idx="3">
                  <c:v>170.85499248077622</c:v>
                </c:pt>
                <c:pt idx="4">
                  <c:v>18.008623118383621</c:v>
                </c:pt>
                <c:pt idx="5">
                  <c:v>1.6243730107834116</c:v>
                </c:pt>
                <c:pt idx="6">
                  <c:v>1.8920818231881874E-2</c:v>
                </c:pt>
              </c:numCache>
            </c:numRef>
          </c:val>
          <c:extLst>
            <c:ext xmlns:c16="http://schemas.microsoft.com/office/drawing/2014/chart" uri="{C3380CC4-5D6E-409C-BE32-E72D297353CC}">
              <c16:uniqueId val="{00000000-8BFB-47C0-AA36-08D8999F192B}"/>
            </c:ext>
          </c:extLst>
        </c:ser>
        <c:ser>
          <c:idx val="1"/>
          <c:order val="1"/>
          <c:tx>
            <c:strRef>
              <c:f>'Grafik erstellen'!$R$38</c:f>
              <c:strCache>
                <c:ptCount val="1"/>
                <c:pt idx="0">
                  <c:v>Ref_KA2030</c:v>
                </c:pt>
              </c:strCache>
            </c:strRef>
          </c:tx>
          <c:spPr>
            <a:blipFill dpi="0" rotWithShape="0">
              <a:blip xmlns:r="http://schemas.openxmlformats.org/officeDocument/2006/relationships" r:embed="rId2"/>
              <a:srcRect/>
              <a:tile tx="0" ty="0" sx="100000" sy="100000" flip="none" algn="tl"/>
            </a:blipFill>
            <a:ln w="25381">
              <a:noFill/>
            </a:ln>
          </c:spPr>
          <c:invertIfNegative val="0"/>
          <c:cat>
            <c:numRef>
              <c:f>'Grafik erstellen'!$U$36:$AA$36</c:f>
              <c:numCache>
                <c:formatCode>General</c:formatCode>
                <c:ptCount val="7"/>
                <c:pt idx="0">
                  <c:v>2020</c:v>
                </c:pt>
                <c:pt idx="1">
                  <c:v>2025</c:v>
                </c:pt>
                <c:pt idx="2">
                  <c:v>2030</c:v>
                </c:pt>
                <c:pt idx="3">
                  <c:v>2035</c:v>
                </c:pt>
                <c:pt idx="4">
                  <c:v>2040</c:v>
                </c:pt>
                <c:pt idx="5">
                  <c:v>2045</c:v>
                </c:pt>
                <c:pt idx="6">
                  <c:v>2050</c:v>
                </c:pt>
              </c:numCache>
            </c:numRef>
          </c:cat>
          <c:val>
            <c:numRef>
              <c:f>'Grafik erstellen'!$U$38:$AA$38</c:f>
              <c:numCache>
                <c:formatCode>General</c:formatCode>
                <c:ptCount val="7"/>
                <c:pt idx="0">
                  <c:v>542.78318588898617</c:v>
                </c:pt>
                <c:pt idx="1">
                  <c:v>633.26831980700683</c:v>
                </c:pt>
                <c:pt idx="2">
                  <c:v>609.13400019658934</c:v>
                </c:pt>
                <c:pt idx="3">
                  <c:v>170.96059231214991</c:v>
                </c:pt>
                <c:pt idx="4">
                  <c:v>19.040143141286048</c:v>
                </c:pt>
                <c:pt idx="5">
                  <c:v>1.8541149577665275</c:v>
                </c:pt>
                <c:pt idx="6">
                  <c:v>3.480161662220238E-2</c:v>
                </c:pt>
              </c:numCache>
            </c:numRef>
          </c:val>
          <c:extLst>
            <c:ext xmlns:c16="http://schemas.microsoft.com/office/drawing/2014/chart" uri="{C3380CC4-5D6E-409C-BE32-E72D297353CC}">
              <c16:uniqueId val="{00000001-8BFB-47C0-AA36-08D8999F192B}"/>
            </c:ext>
          </c:extLst>
        </c:ser>
        <c:ser>
          <c:idx val="2"/>
          <c:order val="2"/>
          <c:tx>
            <c:strRef>
              <c:f>'Grafik erstellen'!$R$39</c:f>
              <c:strCache>
                <c:ptCount val="1"/>
                <c:pt idx="0">
                  <c:v>E-Krise</c:v>
                </c:pt>
              </c:strCache>
            </c:strRef>
          </c:tx>
          <c:spPr>
            <a:blipFill dpi="0" rotWithShape="0">
              <a:blip xmlns:r="http://schemas.openxmlformats.org/officeDocument/2006/relationships" r:embed="rId3"/>
              <a:srcRect/>
              <a:tile tx="0" ty="0" sx="100000" sy="100000" flip="none" algn="tl"/>
            </a:blipFill>
            <a:ln w="25381">
              <a:noFill/>
            </a:ln>
          </c:spPr>
          <c:invertIfNegative val="0"/>
          <c:cat>
            <c:numRef>
              <c:f>'Grafik erstellen'!$U$36:$AA$36</c:f>
              <c:numCache>
                <c:formatCode>General</c:formatCode>
                <c:ptCount val="7"/>
                <c:pt idx="0">
                  <c:v>2020</c:v>
                </c:pt>
                <c:pt idx="1">
                  <c:v>2025</c:v>
                </c:pt>
                <c:pt idx="2">
                  <c:v>2030</c:v>
                </c:pt>
                <c:pt idx="3">
                  <c:v>2035</c:v>
                </c:pt>
                <c:pt idx="4">
                  <c:v>2040</c:v>
                </c:pt>
                <c:pt idx="5">
                  <c:v>2045</c:v>
                </c:pt>
                <c:pt idx="6">
                  <c:v>2050</c:v>
                </c:pt>
              </c:numCache>
            </c:numRef>
          </c:cat>
          <c:val>
            <c:numRef>
              <c:f>'Grafik erstellen'!$U$39:$AA$39</c:f>
              <c:numCache>
                <c:formatCode>General</c:formatCode>
                <c:ptCount val="7"/>
                <c:pt idx="0">
                  <c:v>490.48275359527833</c:v>
                </c:pt>
                <c:pt idx="1">
                  <c:v>252.44906636703837</c:v>
                </c:pt>
                <c:pt idx="2">
                  <c:v>165.61394719168092</c:v>
                </c:pt>
                <c:pt idx="3">
                  <c:v>66.562321244542019</c:v>
                </c:pt>
                <c:pt idx="4">
                  <c:v>8.7880170455106246</c:v>
                </c:pt>
                <c:pt idx="5">
                  <c:v>1.2911963836640827</c:v>
                </c:pt>
                <c:pt idx="6">
                  <c:v>0.10646561236233271</c:v>
                </c:pt>
              </c:numCache>
            </c:numRef>
          </c:val>
          <c:extLst>
            <c:ext xmlns:c16="http://schemas.microsoft.com/office/drawing/2014/chart" uri="{C3380CC4-5D6E-409C-BE32-E72D297353CC}">
              <c16:uniqueId val="{00000002-8BFB-47C0-AA36-08D8999F192B}"/>
            </c:ext>
          </c:extLst>
        </c:ser>
        <c:ser>
          <c:idx val="3"/>
          <c:order val="3"/>
          <c:tx>
            <c:strRef>
              <c:f>'Grafik erstellen'!$R$40</c:f>
              <c:strCache>
                <c:ptCount val="1"/>
                <c:pt idx="0">
                  <c:v>E-Krise_KA2030</c:v>
                </c:pt>
              </c:strCache>
            </c:strRef>
          </c:tx>
          <c:spPr>
            <a:blipFill dpi="0" rotWithShape="0">
              <a:blip xmlns:r="http://schemas.openxmlformats.org/officeDocument/2006/relationships" r:embed="rId4"/>
              <a:srcRect/>
              <a:tile tx="0" ty="0" sx="100000" sy="100000" flip="none" algn="tl"/>
            </a:blipFill>
            <a:ln w="25381">
              <a:noFill/>
            </a:ln>
          </c:spPr>
          <c:invertIfNegative val="0"/>
          <c:cat>
            <c:numRef>
              <c:f>'Grafik erstellen'!$U$36:$AA$36</c:f>
              <c:numCache>
                <c:formatCode>General</c:formatCode>
                <c:ptCount val="7"/>
                <c:pt idx="0">
                  <c:v>2020</c:v>
                </c:pt>
                <c:pt idx="1">
                  <c:v>2025</c:v>
                </c:pt>
                <c:pt idx="2">
                  <c:v>2030</c:v>
                </c:pt>
                <c:pt idx="3">
                  <c:v>2035</c:v>
                </c:pt>
                <c:pt idx="4">
                  <c:v>2040</c:v>
                </c:pt>
                <c:pt idx="5">
                  <c:v>2045</c:v>
                </c:pt>
                <c:pt idx="6">
                  <c:v>2050</c:v>
                </c:pt>
              </c:numCache>
            </c:numRef>
          </c:cat>
          <c:val>
            <c:numRef>
              <c:f>'Grafik erstellen'!$U$40:$AA$40</c:f>
              <c:numCache>
                <c:formatCode>General</c:formatCode>
                <c:ptCount val="7"/>
                <c:pt idx="0">
                  <c:v>546.92580879239722</c:v>
                </c:pt>
                <c:pt idx="1">
                  <c:v>256.24664324909838</c:v>
                </c:pt>
                <c:pt idx="2">
                  <c:v>337.60831739507142</c:v>
                </c:pt>
                <c:pt idx="3">
                  <c:v>79.182544358746341</c:v>
                </c:pt>
                <c:pt idx="4">
                  <c:v>16.388909288565483</c:v>
                </c:pt>
                <c:pt idx="5">
                  <c:v>1.2595352136396301</c:v>
                </c:pt>
                <c:pt idx="6">
                  <c:v>4.5434906634425481E-2</c:v>
                </c:pt>
              </c:numCache>
            </c:numRef>
          </c:val>
          <c:extLst>
            <c:ext xmlns:c16="http://schemas.microsoft.com/office/drawing/2014/chart" uri="{C3380CC4-5D6E-409C-BE32-E72D297353CC}">
              <c16:uniqueId val="{00000003-8BFB-47C0-AA36-08D8999F192B}"/>
            </c:ext>
          </c:extLst>
        </c:ser>
        <c:dLbls>
          <c:showLegendKey val="0"/>
          <c:showVal val="0"/>
          <c:showCatName val="0"/>
          <c:showSerName val="0"/>
          <c:showPercent val="0"/>
          <c:showBubbleSize val="0"/>
        </c:dLbls>
        <c:gapWidth val="219"/>
        <c:overlap val="-27"/>
        <c:axId val="544593935"/>
        <c:axId val="1"/>
      </c:barChart>
      <c:catAx>
        <c:axId val="544593935"/>
        <c:scaling>
          <c:orientation val="minMax"/>
        </c:scaling>
        <c:delete val="0"/>
        <c:axPos val="b"/>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de-DE"/>
          </a:p>
        </c:txPr>
        <c:crossAx val="1"/>
        <c:crosses val="autoZero"/>
        <c:auto val="1"/>
        <c:lblAlgn val="ctr"/>
        <c:lblOffset val="100"/>
        <c:noMultiLvlLbl val="0"/>
      </c:catAx>
      <c:valAx>
        <c:axId val="1"/>
        <c:scaling>
          <c:orientation val="minMax"/>
        </c:scaling>
        <c:delete val="0"/>
        <c:axPos val="l"/>
        <c:majorGridlines>
          <c:spPr>
            <a:ln w="9518" cap="flat" cmpd="sng" algn="ctr">
              <a:solidFill>
                <a:schemeClr val="tx1">
                  <a:lumMod val="15000"/>
                  <a:lumOff val="85000"/>
                </a:schemeClr>
              </a:solidFill>
              <a:round/>
            </a:ln>
            <a:effectLst/>
          </c:spPr>
        </c:majorGridlines>
        <c:title>
          <c:tx>
            <c:rich>
              <a:bodyPr/>
              <a:lstStyle/>
              <a:p>
                <a:pPr>
                  <a:defRPr sz="999" b="0" i="0" u="none" strike="noStrike" baseline="0">
                    <a:solidFill>
                      <a:srgbClr val="333333"/>
                    </a:solidFill>
                    <a:latin typeface="Calibri"/>
                    <a:ea typeface="Calibri"/>
                    <a:cs typeface="Calibri"/>
                  </a:defRPr>
                </a:pPr>
                <a:r>
                  <a:rPr lang="de-DE"/>
                  <a:t>Erdgaseinsatz in KWK-Anlagen PJ</a:t>
                </a:r>
              </a:p>
            </c:rich>
          </c:tx>
          <c:overlay val="0"/>
          <c:spPr>
            <a:noFill/>
            <a:ln w="25381">
              <a:noFill/>
            </a:ln>
          </c:spPr>
        </c:title>
        <c:numFmt formatCode="General"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de-DE"/>
          </a:p>
        </c:txPr>
        <c:crossAx val="544593935"/>
        <c:crosses val="autoZero"/>
        <c:crossBetween val="between"/>
      </c:valAx>
      <c:spPr>
        <a:noFill/>
        <a:ln w="25381">
          <a:noFill/>
        </a:ln>
      </c:spPr>
    </c:plotArea>
    <c:legend>
      <c:legendPos val="b"/>
      <c:overlay val="0"/>
      <c:spPr>
        <a:noFill/>
        <a:ln w="25381">
          <a:noFill/>
        </a:ln>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de-DE"/>
    </a:p>
  </c:txPr>
  <c:externalData r:id="rId5">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Lud22</b:Tag>
    <b:SourceType>Report</b:SourceType>
    <b:Guid>{F82B3BCA-E0AC-4FBA-BFFD-7C5A7B37A687}</b:Guid>
    <b:Title>Deutschland auf dem Weg aus der Gaskrise: Wie sich Klimaschutz und Energiesouveränität vereinen lassen</b:Title>
    <b:Year>2022</b:Year>
    <b:City>Potsdam</b:City>
    <b:Publisher>Kopernikus-Projekt Ariadne</b:Publisher>
    <b:Author>
      <b:Author>
        <b:NameList>
          <b:Person>
            <b:Last>Luderer</b:Last>
            <b:First>Gunnar</b:First>
          </b:Person>
          <b:Person>
            <b:Last>Bartels</b:Last>
            <b:First>Frederike</b:First>
          </b:Person>
          <b:Person>
            <b:Last>Blesl</b:Last>
            <b:First>Markus</b:First>
          </b:Person>
          <b:Person>
            <b:Last>Burkhardt</b:Last>
            <b:First>Alexander</b:First>
          </b:Person>
          <b:Person>
            <b:Last>Edenhofer</b:Last>
            <b:First>Ottmar</b:First>
          </b:Person>
          <b:Person>
            <b:Last>Fahl</b:Last>
            <b:First>Ulrich</b:First>
          </b:Person>
          <b:Person>
            <b:Last>Gillich</b:Last>
            <b:First>Annika</b:First>
          </b:Person>
          <b:Person>
            <b:Last>Herbst</b:Last>
            <b:First>Andrea</b:First>
          </b:Person>
          <b:Person>
            <b:Last>Hufendiek</b:Last>
            <b:First>Kai</b:First>
          </b:Person>
          <b:Person>
            <b:Last>Kaiser</b:Last>
            <b:First>Markus</b:First>
          </b:Person>
          <b:Person>
            <b:Last>Kittel</b:Last>
            <b:First>Lena</b:First>
          </b:Person>
          <b:Person>
            <b:Last>Koller</b:Last>
            <b:First>Florian</b:First>
          </b:Person>
          <b:Person>
            <b:Last>Kost</b:Last>
            <b:First>Christoph</b:First>
          </b:Person>
          <b:Person>
            <b:Last>Pietzcker</b:Last>
            <b:First>Robert</b:First>
            <b:Middle>C.</b:Middle>
          </b:Person>
          <b:Person>
            <b:Last>Rehfeldt</b:Last>
            <b:First>Mat</b:First>
          </b:Person>
        </b:NameList>
      </b:Author>
    </b:Author>
    <b:RefOrder>2</b:RefOrder>
  </b:Source>
  <b:Source>
    <b:Tag>Kat21</b:Tag>
    <b:SourceType>JournalArticle</b:SourceType>
    <b:Guid>{E81FC546-E107-480F-B9BD-6459C9A21AD6}</b:Guid>
    <b:Title>How to Reach the New Green Deal Targets: Analysing the Necessary Burden Sharing within the EU Using a Multi-Model Approach</b:Title>
    <b:Year>2021</b:Year>
    <b:Author>
      <b:Author>
        <b:NameList>
          <b:Person>
            <b:Last>Kattelmann</b:Last>
            <b:First>Felix</b:First>
          </b:Person>
          <b:Person>
            <b:Last>Siegle</b:Last>
            <b:First>Jonathan</b:First>
          </b:Person>
          <b:Person>
            <b:Last>Cunha Montenegro</b:Last>
            <b:First>Roland</b:First>
          </b:Person>
          <b:Person>
            <b:Last>Sehn</b:Last>
            <b:First>Vera</b:First>
          </b:Person>
          <b:Person>
            <b:Last>Blesl</b:Last>
            <b:First>Markus</b:First>
          </b:Person>
          <b:Person>
            <b:Last>Fahl</b:Last>
            <b:First>Ulrich</b:First>
          </b:Person>
        </b:NameList>
      </b:Author>
    </b:Author>
    <b:JournalName>Energies</b:JournalName>
    <b:Pages>7971</b:Pages>
    <b:Volume>14</b:Volume>
    <b:Issue>23</b:Issue>
    <b:RefOrder>1</b:RefOrder>
  </b:Source>
</b:Sources>
</file>

<file path=customXml/itemProps1.xml><?xml version="1.0" encoding="utf-8"?>
<ds:datastoreItem xmlns:ds="http://schemas.openxmlformats.org/officeDocument/2006/customXml" ds:itemID="{1FDCA3EC-7F9A-454C-93D5-D58C6349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Company>TU-Wien Campuslizenz</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Burkhardt, Alexander</cp:lastModifiedBy>
  <cp:revision>2</cp:revision>
  <dcterms:created xsi:type="dcterms:W3CDTF">2022-11-15T12:55:00Z</dcterms:created>
  <dcterms:modified xsi:type="dcterms:W3CDTF">2022-11-15T12:55:00Z</dcterms:modified>
</cp:coreProperties>
</file>