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628A" w14:textId="77777777" w:rsidR="00000000" w:rsidRDefault="00000000">
      <w:pPr>
        <w:pStyle w:val="Default"/>
        <w:spacing w:before="240"/>
        <w:jc w:val="center"/>
        <w:rPr>
          <w:b/>
          <w:bCs/>
          <w:sz w:val="32"/>
          <w:szCs w:val="32"/>
        </w:rPr>
      </w:pPr>
      <w:r>
        <w:rPr>
          <w:b/>
          <w:bCs/>
          <w:sz w:val="32"/>
          <w:szCs w:val="32"/>
        </w:rPr>
        <w:t>Energiekrise in Deutschland</w:t>
      </w:r>
      <w:r w:rsidR="008B2EA7">
        <w:rPr>
          <w:b/>
          <w:bCs/>
          <w:sz w:val="32"/>
          <w:szCs w:val="32"/>
        </w:rPr>
        <w:t xml:space="preserve">: </w:t>
      </w:r>
      <w:r>
        <w:rPr>
          <w:b/>
          <w:bCs/>
          <w:sz w:val="32"/>
          <w:szCs w:val="32"/>
        </w:rPr>
        <w:t xml:space="preserve">Analyse der </w:t>
      </w:r>
      <w:r w:rsidR="0010098C">
        <w:rPr>
          <w:b/>
          <w:bCs/>
          <w:sz w:val="32"/>
          <w:szCs w:val="32"/>
        </w:rPr>
        <w:t>Determinanten</w:t>
      </w:r>
      <w:r>
        <w:rPr>
          <w:b/>
          <w:bCs/>
          <w:sz w:val="32"/>
          <w:szCs w:val="32"/>
        </w:rPr>
        <w:t xml:space="preserve"> wahrgenommene</w:t>
      </w:r>
      <w:r w:rsidR="0010098C">
        <w:rPr>
          <w:b/>
          <w:bCs/>
          <w:sz w:val="32"/>
          <w:szCs w:val="32"/>
        </w:rPr>
        <w:t>r</w:t>
      </w:r>
      <w:r>
        <w:rPr>
          <w:b/>
          <w:bCs/>
          <w:sz w:val="32"/>
          <w:szCs w:val="32"/>
        </w:rPr>
        <w:t xml:space="preserve"> Versorgungssicherheit unter Einbezug </w:t>
      </w:r>
      <w:r w:rsidR="0010098C">
        <w:rPr>
          <w:b/>
          <w:bCs/>
          <w:sz w:val="32"/>
          <w:szCs w:val="32"/>
        </w:rPr>
        <w:t>des</w:t>
      </w:r>
      <w:r>
        <w:rPr>
          <w:b/>
          <w:bCs/>
          <w:sz w:val="32"/>
          <w:szCs w:val="32"/>
        </w:rPr>
        <w:t xml:space="preserve"> politische</w:t>
      </w:r>
      <w:r w:rsidR="0010098C">
        <w:rPr>
          <w:b/>
          <w:bCs/>
          <w:sz w:val="32"/>
          <w:szCs w:val="32"/>
        </w:rPr>
        <w:t>n</w:t>
      </w:r>
      <w:r>
        <w:rPr>
          <w:b/>
          <w:bCs/>
          <w:sz w:val="32"/>
          <w:szCs w:val="32"/>
        </w:rPr>
        <w:t xml:space="preserve"> Vertrauen</w:t>
      </w:r>
      <w:r w:rsidR="0010098C">
        <w:rPr>
          <w:b/>
          <w:bCs/>
          <w:sz w:val="32"/>
          <w:szCs w:val="32"/>
        </w:rPr>
        <w:t>s</w:t>
      </w:r>
      <w:r>
        <w:rPr>
          <w:b/>
          <w:bCs/>
          <w:sz w:val="32"/>
          <w:szCs w:val="32"/>
        </w:rPr>
        <w:t xml:space="preserve"> von </w:t>
      </w:r>
      <w:r w:rsidR="008B2EA7">
        <w:rPr>
          <w:b/>
          <w:bCs/>
          <w:sz w:val="32"/>
          <w:szCs w:val="32"/>
        </w:rPr>
        <w:t>V</w:t>
      </w:r>
      <w:r>
        <w:rPr>
          <w:b/>
          <w:bCs/>
          <w:sz w:val="32"/>
          <w:szCs w:val="32"/>
        </w:rPr>
        <w:t>erbraucher</w:t>
      </w:r>
      <w:r w:rsidR="0010098C">
        <w:rPr>
          <w:b/>
          <w:bCs/>
          <w:sz w:val="32"/>
          <w:szCs w:val="32"/>
        </w:rPr>
        <w:t>n</w:t>
      </w:r>
      <w:r>
        <w:rPr>
          <w:b/>
          <w:bCs/>
          <w:sz w:val="32"/>
          <w:szCs w:val="32"/>
        </w:rPr>
        <w:t xml:space="preserve"> </w:t>
      </w:r>
    </w:p>
    <w:p w14:paraId="266949D6" w14:textId="77777777" w:rsidR="00000000" w:rsidRDefault="00000000">
      <w:pPr>
        <w:pStyle w:val="AutorenOrganisation"/>
      </w:pPr>
      <w:r>
        <w:t>Themenbereich 1: Energie-/Klimapolitik, Versorgungssicherheit</w:t>
      </w:r>
    </w:p>
    <w:p w14:paraId="30425A67" w14:textId="77777777" w:rsidR="00000000" w:rsidRDefault="00000000">
      <w:pPr>
        <w:pStyle w:val="AutorenOrganisation"/>
      </w:pPr>
      <w:r>
        <w:t>Ann-Sophie CONRAD</w:t>
      </w:r>
      <w:r>
        <w:rPr>
          <w:rStyle w:val="Funotenzeichen"/>
        </w:rPr>
        <w:footnoteReference w:id="1"/>
      </w:r>
      <w:r>
        <w:t xml:space="preserve"> </w:t>
      </w:r>
      <w:r>
        <w:rPr>
          <w:vertAlign w:val="superscript"/>
        </w:rPr>
        <w:t xml:space="preserve">(1) </w:t>
      </w:r>
      <w:r>
        <w:t>, Pascal HÄBIG</w:t>
      </w:r>
      <w:r>
        <w:rPr>
          <w:vertAlign w:val="superscript"/>
        </w:rPr>
        <w:footnoteReference w:id="2"/>
      </w:r>
      <w:r>
        <w:t xml:space="preserve"> </w:t>
      </w:r>
      <w:r>
        <w:rPr>
          <w:vertAlign w:val="superscript"/>
        </w:rPr>
        <w:t>(2)</w:t>
      </w:r>
    </w:p>
    <w:p w14:paraId="7C92FC14" w14:textId="77777777" w:rsidR="00000000" w:rsidRDefault="00000000">
      <w:pPr>
        <w:pStyle w:val="AutorenOrganisation"/>
      </w:pPr>
      <w:r>
        <w:rPr>
          <w:vertAlign w:val="superscript"/>
        </w:rPr>
        <w:t>(1)</w:t>
      </w:r>
      <w:r>
        <w:t xml:space="preserve">Pfalzwerke Aktiengesellschaft, Wredestraße 35, 67059 Ludwigshafen, https://www.pfalzwerke.de/pfalzwerke-gruppe, </w:t>
      </w:r>
      <w:r>
        <w:rPr>
          <w:vertAlign w:val="superscript"/>
        </w:rPr>
        <w:t>(2)</w:t>
      </w:r>
      <w:r>
        <w:t xml:space="preserve">IER Institut für Energiewirtschaft und Rationelle Energieanwendung der Universität Stuttgart, Heßbrühlstraße 49a, 70565 Stuttgart, </w:t>
      </w:r>
      <w:hyperlink r:id="rId8" w:history="1">
        <w:r>
          <w:rPr>
            <w:rStyle w:val="Hyperlink"/>
          </w:rPr>
          <w:t>www.ier.uni-stuttgart.de</w:t>
        </w:r>
      </w:hyperlink>
    </w:p>
    <w:p w14:paraId="2DDD833A" w14:textId="77777777" w:rsidR="00000000" w:rsidRDefault="00000000">
      <w:pPr>
        <w:pStyle w:val="AutorenOrganisation"/>
        <w:rPr>
          <w:lang w:val="de-DE"/>
        </w:rPr>
      </w:pPr>
    </w:p>
    <w:p w14:paraId="26001A91" w14:textId="77777777" w:rsidR="00000000" w:rsidRDefault="00000000">
      <w:pPr>
        <w:pStyle w:val="Ueberschrift"/>
      </w:pPr>
      <w:r>
        <w:t>Motivation und zentrale Fragestellung (Max. 100 Wörter)</w:t>
      </w:r>
    </w:p>
    <w:p w14:paraId="6D0805FD" w14:textId="77777777" w:rsidR="00000000" w:rsidRDefault="00000000">
      <w:pPr>
        <w:spacing w:after="120"/>
        <w:rPr>
          <w:rFonts w:cs="Arial"/>
          <w:szCs w:val="20"/>
        </w:rPr>
      </w:pPr>
      <w:r>
        <w:rPr>
          <w:rFonts w:cs="Arial"/>
          <w:szCs w:val="20"/>
        </w:rPr>
        <w:t>Krisen, wie die Covid-19-Pandemie, gehen mit z. T. tiefgreifenden politischen Beschlüssen einher. Diese werden nicht selten bei einem Teil der Bevölkerung von einem Abfall des politischen Vertrauens begleitet [1]. Diese</w:t>
      </w:r>
      <w:r w:rsidR="00752406">
        <w:rPr>
          <w:rFonts w:cs="Arial"/>
          <w:szCs w:val="20"/>
        </w:rPr>
        <w:t>s</w:t>
      </w:r>
      <w:r>
        <w:rPr>
          <w:rFonts w:cs="Arial"/>
          <w:szCs w:val="20"/>
        </w:rPr>
        <w:t xml:space="preserve"> wird nach [2] als das Vertrauen der Bürger*innen in politische Institutionen definiert. Di</w:t>
      </w:r>
      <w:r w:rsidR="00752406">
        <w:rPr>
          <w:rFonts w:cs="Arial"/>
          <w:szCs w:val="20"/>
        </w:rPr>
        <w:t>e</w:t>
      </w:r>
      <w:r>
        <w:rPr>
          <w:rFonts w:cs="Arial"/>
          <w:szCs w:val="20"/>
        </w:rPr>
        <w:t xml:space="preserve"> Unzufriedenheit mit den politischen Entscheidungen während der Pandemie hat zu gesellschaftlichen Unruhe</w:t>
      </w:r>
      <w:r w:rsidR="00752406">
        <w:rPr>
          <w:rFonts w:cs="Arial"/>
          <w:szCs w:val="20"/>
        </w:rPr>
        <w:t>n</w:t>
      </w:r>
      <w:r>
        <w:rPr>
          <w:rFonts w:cs="Arial"/>
          <w:szCs w:val="20"/>
        </w:rPr>
        <w:t xml:space="preserve"> und zum Teil auch zu antidemokratischen Bewegungen geführt [3];[4]. Auch im Kontext der aktuellen Energiekrise wurden und werden Maßnahmen verordnet. Vor diesem Hintergrund rückt das potenziell ohnehin schon geschwächte Vertrauen in staatliche Institutionen</w:t>
      </w:r>
      <w:r w:rsidR="00752406">
        <w:rPr>
          <w:rFonts w:cs="Arial"/>
          <w:szCs w:val="20"/>
        </w:rPr>
        <w:t xml:space="preserve"> und</w:t>
      </w:r>
      <w:r>
        <w:rPr>
          <w:rFonts w:cs="Arial"/>
          <w:szCs w:val="20"/>
        </w:rPr>
        <w:t xml:space="preserve"> das Thema der Versorgungssicherheit in den öffentlichen Fokus [5]. Die vorliegende Untersuchung beleuchtet daher den Zusammenhang zwischen „Politischem Vertrauen“ und „Wahrgenommener Versorgungssicherheit“ bei energiewirtschaftlichen Endverbraucher*innen.</w:t>
      </w:r>
    </w:p>
    <w:p w14:paraId="67DAA887" w14:textId="77777777" w:rsidR="00000000" w:rsidRDefault="00000000">
      <w:pPr>
        <w:spacing w:after="120"/>
        <w:rPr>
          <w:rFonts w:cs="Arial"/>
          <w:szCs w:val="20"/>
        </w:rPr>
      </w:pPr>
    </w:p>
    <w:p w14:paraId="4A80395B" w14:textId="77777777" w:rsidR="00000000" w:rsidRDefault="00000000">
      <w:pPr>
        <w:pStyle w:val="Ueberschrift"/>
      </w:pPr>
      <w:r>
        <w:t>Methodische Vorgangsweise (Max. 200 Wörter)</w:t>
      </w:r>
    </w:p>
    <w:p w14:paraId="34252AA1" w14:textId="77777777" w:rsidR="00000000" w:rsidRDefault="00000000">
      <w:pPr>
        <w:spacing w:after="120"/>
        <w:rPr>
          <w:szCs w:val="20"/>
        </w:rPr>
      </w:pPr>
      <w:r>
        <w:rPr>
          <w:szCs w:val="20"/>
        </w:rPr>
        <w:t>Um diese Fragestellung, dessen Untersuchungsrahmen sich auf die Elektrizitätsversorgung in Deutschland bezieht, zu adressieren wird die in Abbildung 1 dargestellte Vorgehensweise in Anlehnung an [6] gewählt. Diese unterteilt sich in die vier Schritte Modellspezifikation, Datenerhebung, Parameterschätzung und Ergebnisinterpretation.</w:t>
      </w:r>
    </w:p>
    <w:p w14:paraId="10E142C6" w14:textId="77777777" w:rsidR="0032260C" w:rsidRDefault="0032260C">
      <w:pPr>
        <w:spacing w:after="120"/>
        <w:rPr>
          <w:szCs w:val="20"/>
        </w:rPr>
      </w:pPr>
    </w:p>
    <w:p w14:paraId="2CCB6911" w14:textId="77777777" w:rsidR="00000000" w:rsidRDefault="00D41843" w:rsidP="0032260C">
      <w:pPr>
        <w:spacing w:after="120"/>
        <w:rPr>
          <w:szCs w:val="20"/>
        </w:rPr>
      </w:pPr>
      <w:r>
        <w:rPr>
          <w:i/>
          <w:noProof/>
          <w:szCs w:val="20"/>
        </w:rPr>
        <w:drawing>
          <wp:inline distT="0" distB="0" distL="0" distR="0" wp14:anchorId="4BB42143" wp14:editId="586CE227">
            <wp:extent cx="5772150" cy="2302510"/>
            <wp:effectExtent l="0" t="0" r="0" b="0"/>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2302510"/>
                    </a:xfrm>
                    <a:prstGeom prst="rect">
                      <a:avLst/>
                    </a:prstGeom>
                    <a:noFill/>
                    <a:ln>
                      <a:noFill/>
                    </a:ln>
                  </pic:spPr>
                </pic:pic>
              </a:graphicData>
            </a:graphic>
          </wp:inline>
        </w:drawing>
      </w:r>
    </w:p>
    <w:p w14:paraId="128A816D" w14:textId="77777777" w:rsidR="00000000" w:rsidRDefault="00000000">
      <w:pPr>
        <w:pStyle w:val="Abbildungsbeschriftung"/>
        <w:spacing w:before="120" w:after="120"/>
        <w:ind w:left="1418" w:hanging="1418"/>
        <w:jc w:val="left"/>
        <w:rPr>
          <w:i w:val="0"/>
          <w:iCs w:val="0"/>
          <w:szCs w:val="20"/>
        </w:rPr>
      </w:pPr>
      <w:r>
        <w:rPr>
          <w:b/>
          <w:bCs/>
          <w:i w:val="0"/>
          <w:iCs w:val="0"/>
          <w:szCs w:val="20"/>
        </w:rPr>
        <w:t>Abbildung 1:</w:t>
      </w:r>
      <w:r>
        <w:rPr>
          <w:b/>
          <w:bCs/>
          <w:i w:val="0"/>
          <w:iCs w:val="0"/>
          <w:szCs w:val="20"/>
        </w:rPr>
        <w:tab/>
      </w:r>
      <w:r>
        <w:rPr>
          <w:i w:val="0"/>
          <w:szCs w:val="20"/>
        </w:rPr>
        <w:t>Methodische Vorgehensweise zur empirischen Untersuchung der Fragestellung in Anlehnung an [6].</w:t>
      </w:r>
    </w:p>
    <w:p w14:paraId="6693FAAD" w14:textId="77777777" w:rsidR="00000000" w:rsidRDefault="00000000">
      <w:pPr>
        <w:spacing w:after="120"/>
        <w:rPr>
          <w:rFonts w:cs="Arial"/>
          <w:szCs w:val="20"/>
        </w:rPr>
      </w:pPr>
      <w:r>
        <w:rPr>
          <w:rFonts w:cs="Arial"/>
          <w:szCs w:val="20"/>
        </w:rPr>
        <w:t>Zur Spezfikation des Modells (Schritt 1) sind zunächst auf Basis einer Literaturrecherche theoretische Vorüberlegungen zu den untersuchten Konstrukten angestellt worden. Nach deren Definition</w:t>
      </w:r>
      <w:r w:rsidR="00F0775E">
        <w:rPr>
          <w:rFonts w:cs="Arial"/>
          <w:szCs w:val="20"/>
        </w:rPr>
        <w:t>en</w:t>
      </w:r>
      <w:r>
        <w:rPr>
          <w:rFonts w:cs="Arial"/>
          <w:szCs w:val="20"/>
        </w:rPr>
        <w:t xml:space="preserve"> sind theoriebasiert vier Hypothesen hergeleitet und zu einem Hypothesensystem zusammengeführt worden, welche die Grundlage für die Datenerhebung (Schritt 2) liefer</w:t>
      </w:r>
      <w:r w:rsidR="00F0775E">
        <w:rPr>
          <w:rFonts w:cs="Arial"/>
          <w:szCs w:val="20"/>
        </w:rPr>
        <w:t>n</w:t>
      </w:r>
      <w:r>
        <w:rPr>
          <w:rFonts w:cs="Arial"/>
          <w:szCs w:val="20"/>
        </w:rPr>
        <w:t xml:space="preserve">. Die Fragebogenkonsruktion </w:t>
      </w:r>
      <w:r>
        <w:rPr>
          <w:rFonts w:cs="Arial"/>
          <w:szCs w:val="20"/>
        </w:rPr>
        <w:lastRenderedPageBreak/>
        <w:t xml:space="preserve">erfolgt in Anlehnung an [7], [8] bzw. [9] und enthält 16 Items. Auf den Pre-Test folgte eine etwa dreiwöchige Online-Befragung bei Endverbraucher*innen. Die erhobenen Datensätze wurden bereinigt und deskriptiv ausgewertet. </w:t>
      </w:r>
    </w:p>
    <w:p w14:paraId="5604B502" w14:textId="77777777" w:rsidR="00000000" w:rsidRDefault="00000000">
      <w:pPr>
        <w:pStyle w:val="Abbildungsbeschriftung"/>
        <w:spacing w:before="120" w:after="120"/>
        <w:rPr>
          <w:rFonts w:cs="Arial"/>
          <w:bCs/>
          <w:i w:val="0"/>
          <w:iCs w:val="0"/>
          <w:spacing w:val="-5"/>
          <w:szCs w:val="20"/>
          <w:lang w:eastAsia="de-DE"/>
        </w:rPr>
      </w:pPr>
      <w:r>
        <w:rPr>
          <w:rFonts w:cs="Arial"/>
          <w:i w:val="0"/>
          <w:szCs w:val="20"/>
        </w:rPr>
        <w:t>Zur Schätzung der Parameter (Schritt 3) werden zunächst passende</w:t>
      </w:r>
      <w:r>
        <w:rPr>
          <w:rFonts w:cs="Arial"/>
          <w:szCs w:val="20"/>
        </w:rPr>
        <w:t xml:space="preserve"> </w:t>
      </w:r>
      <w:r>
        <w:rPr>
          <w:rFonts w:cs="Arial"/>
          <w:i w:val="0"/>
          <w:szCs w:val="20"/>
        </w:rPr>
        <w:t xml:space="preserve">statistische Methoden ausgewählt. Zur Validierung der Faktoren der Wahrgenommenen Versorgungssicherheit wurde bspw. eine konfirmatorische Faktorenanalyse durchgeführt. Die identifizierten Faktoren sollen in der statistischen Analyse als abhängige Variablen dienen. Der Zusammenhang zwischen Politischem Vertrauen und Wahrgenommener Vorsorgungssicherheit soll mittels MANOVA untersucht werden. Die Berechnung und Beurteilung der Gütekriterien kann gegebenenfalls Modellanpassungen nach sich ziehen. </w:t>
      </w:r>
      <w:r>
        <w:rPr>
          <w:rFonts w:cs="Arial"/>
          <w:bCs/>
          <w:i w:val="0"/>
          <w:iCs w:val="0"/>
          <w:spacing w:val="-5"/>
          <w:szCs w:val="20"/>
          <w:lang w:eastAsia="de-DE"/>
        </w:rPr>
        <w:t>Abschließend sollen die Ergebnisse des vorliegenden Beitrags interpretiert werden (Schritt 4), worauf im nachfolgenden Abschnitt eingegangen wird.</w:t>
      </w:r>
    </w:p>
    <w:p w14:paraId="0DA0F8BA" w14:textId="77777777" w:rsidR="00000000" w:rsidRDefault="00000000">
      <w:pPr>
        <w:pStyle w:val="Abbildungsbeschriftung"/>
        <w:spacing w:before="120" w:after="120"/>
        <w:rPr>
          <w:i w:val="0"/>
        </w:rPr>
      </w:pPr>
    </w:p>
    <w:p w14:paraId="7372B9BB" w14:textId="77777777" w:rsidR="00000000" w:rsidRDefault="00000000">
      <w:pPr>
        <w:pStyle w:val="Ueberschrift"/>
      </w:pPr>
      <w:r>
        <w:t>Ergebnisse und Schlussfolgerungen (Max. 200 Wörter)</w:t>
      </w:r>
    </w:p>
    <w:p w14:paraId="134C23B0" w14:textId="77777777" w:rsidR="00000000" w:rsidRDefault="00000000">
      <w:pPr>
        <w:pStyle w:val="Ueberschrift"/>
        <w:rPr>
          <w:rFonts w:cs="Arial"/>
          <w:b w:val="0"/>
          <w:bCs/>
          <w:sz w:val="20"/>
          <w:szCs w:val="21"/>
        </w:rPr>
      </w:pPr>
      <w:r>
        <w:rPr>
          <w:rFonts w:cs="Arial"/>
          <w:b w:val="0"/>
          <w:bCs/>
          <w:sz w:val="20"/>
          <w:szCs w:val="21"/>
        </w:rPr>
        <w:t>Da noch nicht alle Ergebnisse der empirischen Analyse vorliegen, sollen in diesem Abstract lediglich erste Vorüberlegungen und deskriptive Analysen gezeigt werden</w:t>
      </w:r>
      <w:r w:rsidR="00F0775E">
        <w:rPr>
          <w:rFonts w:cs="Arial"/>
          <w:b w:val="0"/>
          <w:bCs/>
          <w:sz w:val="20"/>
          <w:szCs w:val="21"/>
        </w:rPr>
        <w:t>. D</w:t>
      </w:r>
      <w:r>
        <w:rPr>
          <w:rFonts w:cs="Arial"/>
          <w:b w:val="0"/>
          <w:bCs/>
          <w:sz w:val="20"/>
          <w:szCs w:val="21"/>
        </w:rPr>
        <w:t xml:space="preserve">ie Ergebnisse der Untersuchung sollen dann im Konferenzbeitrag dargestellt werden. </w:t>
      </w:r>
    </w:p>
    <w:p w14:paraId="6B01C803" w14:textId="77777777" w:rsidR="00000000" w:rsidRDefault="00000000">
      <w:pPr>
        <w:pStyle w:val="Ueberschrift"/>
        <w:rPr>
          <w:rFonts w:cs="Arial"/>
          <w:b w:val="0"/>
          <w:bCs/>
          <w:sz w:val="20"/>
          <w:szCs w:val="21"/>
        </w:rPr>
      </w:pPr>
      <w:r>
        <w:rPr>
          <w:rFonts w:cs="Arial"/>
          <w:b w:val="0"/>
          <w:bCs/>
          <w:sz w:val="20"/>
          <w:szCs w:val="21"/>
        </w:rPr>
        <w:t>Neben den Konstruktdefinitionen sind im ersten Schritt vier Hypothesen entwickelt worden. Die Messung der „Wahrgenommenenen Versorgungssicherheit“ soll mit den Faktoren „Wahrnehmung der deutschen Versorgungsinfrastruktur“ und „Wahrgenommenes Risiko durch instabile Stromversorgung“ gemessen werden. Wie bereits einleitend erwähnt, wird die Hypothese verfolgt, dass das „Politische Vertrauen“ die „Wahrgenommene Versorgungssicherheit“ positiv beeinflusst. Eine Dartsellung der skizzierten Zusammenhänge ist in Abbildung 2 zu finden.</w:t>
      </w:r>
    </w:p>
    <w:p w14:paraId="3E631A52" w14:textId="77777777" w:rsidR="00000000" w:rsidRDefault="00000000">
      <w:pPr>
        <w:pStyle w:val="Ueberschrift"/>
        <w:rPr>
          <w:rFonts w:cs="Arial"/>
          <w:b w:val="0"/>
          <w:bCs/>
          <w:sz w:val="20"/>
          <w:szCs w:val="21"/>
        </w:rPr>
      </w:pPr>
    </w:p>
    <w:p w14:paraId="7AF57FBF" w14:textId="77777777" w:rsidR="00000000" w:rsidRDefault="00D41843">
      <w:pPr>
        <w:pStyle w:val="Ueberschrift"/>
        <w:jc w:val="center"/>
      </w:pPr>
      <w:r>
        <w:rPr>
          <w:noProof/>
        </w:rPr>
        <w:drawing>
          <wp:inline distT="0" distB="0" distL="0" distR="0" wp14:anchorId="642CD1B3" wp14:editId="2675B092">
            <wp:extent cx="5772150" cy="262890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2628900"/>
                    </a:xfrm>
                    <a:prstGeom prst="rect">
                      <a:avLst/>
                    </a:prstGeom>
                    <a:noFill/>
                    <a:ln>
                      <a:noFill/>
                    </a:ln>
                  </pic:spPr>
                </pic:pic>
              </a:graphicData>
            </a:graphic>
          </wp:inline>
        </w:drawing>
      </w:r>
    </w:p>
    <w:p w14:paraId="3732B8ED" w14:textId="77777777" w:rsidR="00000000" w:rsidRDefault="00000000">
      <w:pPr>
        <w:pStyle w:val="Abbildungsbeschriftung"/>
        <w:spacing w:before="120" w:after="120"/>
        <w:ind w:left="1418" w:hanging="1418"/>
        <w:jc w:val="left"/>
        <w:rPr>
          <w:i w:val="0"/>
          <w:iCs w:val="0"/>
        </w:rPr>
      </w:pPr>
      <w:r>
        <w:rPr>
          <w:b/>
          <w:bCs/>
          <w:i w:val="0"/>
          <w:iCs w:val="0"/>
        </w:rPr>
        <w:t>Abbildung 2:</w:t>
      </w:r>
      <w:r>
        <w:rPr>
          <w:b/>
          <w:bCs/>
          <w:i w:val="0"/>
          <w:iCs w:val="0"/>
        </w:rPr>
        <w:tab/>
      </w:r>
      <w:r>
        <w:rPr>
          <w:i w:val="0"/>
          <w:iCs w:val="0"/>
        </w:rPr>
        <w:t>Hypothesensystem zur Untersuchung des Zusammenhangs zwischen „Politischem Vertrauen“ und „Wahrgenommener Versorgungssicherheit“</w:t>
      </w:r>
    </w:p>
    <w:p w14:paraId="2FED1D5D" w14:textId="77777777" w:rsidR="00000000" w:rsidRDefault="00000000">
      <w:pPr>
        <w:pStyle w:val="Abbildungsbeschriftung"/>
        <w:spacing w:before="120" w:after="120"/>
        <w:jc w:val="center"/>
        <w:rPr>
          <w:i w:val="0"/>
          <w:iCs w:val="0"/>
        </w:rPr>
      </w:pPr>
    </w:p>
    <w:p w14:paraId="368C3447" w14:textId="77777777" w:rsidR="00000000" w:rsidRDefault="00000000">
      <w:pPr>
        <w:pStyle w:val="Abbildungsbeschriftung"/>
        <w:spacing w:before="120" w:after="120"/>
        <w:rPr>
          <w:bCs/>
          <w:i w:val="0"/>
          <w:iCs w:val="0"/>
          <w:spacing w:val="-5"/>
          <w:szCs w:val="21"/>
          <w:lang w:eastAsia="de-DE"/>
        </w:rPr>
      </w:pPr>
      <w:r>
        <w:rPr>
          <w:bCs/>
          <w:i w:val="0"/>
          <w:iCs w:val="0"/>
          <w:spacing w:val="-5"/>
          <w:szCs w:val="21"/>
          <w:lang w:eastAsia="de-DE"/>
        </w:rPr>
        <w:t>Nach der Bereinigung der Daten aus der Online-Befragung umfasst die Stichprobe n = 146 vollständige Datensätze für die weiteren statistischen Analysen. Rund 40 % der befragten Personen waren Frauen und das Alter lag im Mittel bei etwa 39 Jahren. Die weitere Auswertung der Sozio-Demografika zeigt,</w:t>
      </w:r>
      <w:r>
        <w:rPr>
          <w:b/>
          <w:bCs/>
          <w:i w:val="0"/>
          <w:iCs w:val="0"/>
          <w:color w:val="70AD47"/>
          <w:spacing w:val="-5"/>
          <w:szCs w:val="21"/>
          <w:lang w:eastAsia="de-DE"/>
        </w:rPr>
        <w:t xml:space="preserve"> </w:t>
      </w:r>
      <w:r>
        <w:rPr>
          <w:bCs/>
          <w:i w:val="0"/>
          <w:iCs w:val="0"/>
          <w:spacing w:val="-5"/>
          <w:szCs w:val="21"/>
          <w:lang w:eastAsia="de-DE"/>
        </w:rPr>
        <w:t>dass die Mehrheit der teilnehmenden Personen einen Bachelorabschluss als höchsten Bildungsgrad (22 %) angegeben haben. Innerhalb der letzten fünf Jahre wurde der Stromlieferant durchschnittlich ein Mal gewechselt. Rund 61 % der befragten Personen waren im Glauben, bei einem wettbewerblichen Stromlieferanten unter Vertrag zu sein.</w:t>
      </w:r>
    </w:p>
    <w:p w14:paraId="3BBE6A2D" w14:textId="77777777" w:rsidR="00000000" w:rsidRDefault="00000000">
      <w:pPr>
        <w:pStyle w:val="Ueberschrift"/>
        <w:rPr>
          <w:b w:val="0"/>
          <w:bCs/>
          <w:sz w:val="20"/>
          <w:szCs w:val="21"/>
        </w:rPr>
      </w:pPr>
      <w:bookmarkStart w:id="0" w:name="_Toc26086066"/>
      <w:bookmarkStart w:id="1" w:name="_Toc68418491"/>
    </w:p>
    <w:p w14:paraId="12FC06C9" w14:textId="77777777" w:rsidR="00416385" w:rsidRDefault="00416385">
      <w:pPr>
        <w:pStyle w:val="Ueberschrift"/>
        <w:rPr>
          <w:lang w:val="en-US"/>
        </w:rPr>
      </w:pPr>
    </w:p>
    <w:p w14:paraId="699CF69A" w14:textId="77777777" w:rsidR="008B2EA7" w:rsidRDefault="008B2EA7">
      <w:pPr>
        <w:pStyle w:val="Ueberschrift"/>
        <w:rPr>
          <w:lang w:val="en-US"/>
        </w:rPr>
      </w:pPr>
    </w:p>
    <w:p w14:paraId="45AD6AE1" w14:textId="77777777" w:rsidR="00000000" w:rsidRPr="00752406" w:rsidRDefault="00000000">
      <w:pPr>
        <w:pStyle w:val="Ueberschrift"/>
        <w:rPr>
          <w:lang w:val="en-US"/>
        </w:rPr>
      </w:pPr>
      <w:r w:rsidRPr="00752406">
        <w:rPr>
          <w:lang w:val="en-US"/>
        </w:rPr>
        <w:lastRenderedPageBreak/>
        <w:t>Literatur</w:t>
      </w:r>
      <w:bookmarkEnd w:id="0"/>
      <w:bookmarkEnd w:id="1"/>
      <w:r w:rsidRPr="00752406">
        <w:rPr>
          <w:sz w:val="20"/>
          <w:lang w:val="en-US" w:eastAsia="ko-KR"/>
        </w:rPr>
        <w:tab/>
      </w:r>
    </w:p>
    <w:p w14:paraId="28EA1A06" w14:textId="77777777" w:rsidR="00000000" w:rsidRPr="00752406" w:rsidRDefault="00000000">
      <w:pPr>
        <w:pStyle w:val="WAText"/>
        <w:spacing w:before="0" w:after="0" w:line="240" w:lineRule="auto"/>
        <w:ind w:left="709" w:hanging="709"/>
        <w:rPr>
          <w:rFonts w:eastAsia="Times New Roman" w:cs="Times New Roman"/>
          <w:sz w:val="20"/>
          <w:lang w:val="en-US" w:eastAsia="ko-KR"/>
        </w:rPr>
      </w:pPr>
      <w:r w:rsidRPr="00752406">
        <w:rPr>
          <w:rFonts w:eastAsia="Times New Roman" w:cs="Times New Roman"/>
          <w:sz w:val="20"/>
          <w:lang w:val="en-US" w:eastAsia="ko-KR"/>
        </w:rPr>
        <w:t>[1]</w:t>
      </w:r>
      <w:r w:rsidRPr="00752406">
        <w:rPr>
          <w:rFonts w:eastAsia="Times New Roman" w:cs="Times New Roman"/>
          <w:sz w:val="20"/>
          <w:lang w:val="en-US" w:eastAsia="ko-KR"/>
        </w:rPr>
        <w:tab/>
        <w:t>Betsch, C.; Wieler, L.; Bosnjak, M.; Ramharter, M.; Stollorz, V.; Omer, S.; Korn, L.; Sprengholz, P.; Felgendreff, L.; Eitze, S. und Schmid, P. (2020): Germany COVID-19 Snapshot Monitoring (COSMO Germany): Monitoring knowledge, risk perceptions, preventive behaviours, and public trust in the current coronavirus outbreak in Germany, http://dx.doi.org/10.23668/psycharchives.2776</w:t>
      </w:r>
      <w:r w:rsidR="00F0775E">
        <w:rPr>
          <w:rFonts w:eastAsia="Times New Roman" w:cs="Times New Roman"/>
          <w:sz w:val="20"/>
          <w:lang w:val="en-US" w:eastAsia="ko-KR"/>
        </w:rPr>
        <w:t>.</w:t>
      </w:r>
    </w:p>
    <w:p w14:paraId="37F51B51" w14:textId="77777777" w:rsidR="00000000" w:rsidRDefault="00000000">
      <w:pPr>
        <w:pStyle w:val="WAText"/>
        <w:spacing w:before="0" w:after="0" w:line="240" w:lineRule="auto"/>
        <w:ind w:left="700" w:hanging="700"/>
        <w:rPr>
          <w:rFonts w:eastAsia="Times New Roman" w:cs="Times New Roman"/>
          <w:sz w:val="20"/>
          <w:lang w:eastAsia="ko-KR"/>
        </w:rPr>
      </w:pPr>
      <w:r>
        <w:rPr>
          <w:rFonts w:eastAsia="Times New Roman" w:cs="Times New Roman"/>
          <w:sz w:val="20"/>
          <w:lang w:val="en-US" w:eastAsia="ko-KR"/>
        </w:rPr>
        <w:t>[2]</w:t>
      </w:r>
      <w:r>
        <w:rPr>
          <w:rFonts w:cs="Times New Roman"/>
          <w:lang w:val="en-US" w:eastAsia="ko-KR"/>
        </w:rPr>
        <w:tab/>
      </w:r>
      <w:r>
        <w:rPr>
          <w:rFonts w:eastAsia="Times New Roman" w:cs="Times New Roman"/>
          <w:sz w:val="20"/>
          <w:lang w:val="en-US" w:eastAsia="ko-KR"/>
        </w:rPr>
        <w:t xml:space="preserve">Denters, B.; Gabriel, O. und Torcal, M. (2007): Political confidence in representative democracies: socio-cultural vs. political explanations. In: Van Deth, J.; Montero, J. R. und Westholm, A. (Hrsg.): Citizenship and Involvement in European Democracies. </w:t>
      </w:r>
      <w:r>
        <w:rPr>
          <w:rFonts w:eastAsia="Times New Roman" w:cs="Times New Roman"/>
          <w:sz w:val="20"/>
          <w:lang w:eastAsia="ko-KR"/>
        </w:rPr>
        <w:t>A comparative analysis. London/New York.</w:t>
      </w:r>
    </w:p>
    <w:p w14:paraId="5125C2AC" w14:textId="77777777" w:rsidR="00000000" w:rsidRPr="00752406" w:rsidRDefault="00000000">
      <w:pPr>
        <w:pStyle w:val="Literatur"/>
        <w:ind w:left="700" w:hanging="700"/>
        <w:rPr>
          <w:rFonts w:cs="Times New Roman"/>
          <w:szCs w:val="24"/>
          <w:lang w:eastAsia="ko-KR"/>
        </w:rPr>
      </w:pPr>
      <w:bookmarkStart w:id="2" w:name="_Hlk118290051"/>
      <w:r>
        <w:rPr>
          <w:rFonts w:cs="Times New Roman"/>
          <w:szCs w:val="24"/>
          <w:lang w:eastAsia="ko-KR"/>
        </w:rPr>
        <w:t>[3]</w:t>
      </w:r>
      <w:r>
        <w:rPr>
          <w:rFonts w:cs="Times New Roman"/>
          <w:szCs w:val="24"/>
          <w:lang w:eastAsia="ko-KR"/>
        </w:rPr>
        <w:tab/>
      </w:r>
      <w:r>
        <w:rPr>
          <w:rFonts w:cs="Times New Roman"/>
          <w:szCs w:val="24"/>
          <w:lang w:eastAsia="ko-KR"/>
        </w:rPr>
        <w:tab/>
      </w:r>
      <w:r>
        <w:rPr>
          <w:lang w:eastAsia="ko-KR"/>
        </w:rPr>
        <w:t xml:space="preserve">Zmerli, S. (2013): Soziales Vertrauen. In: </w:t>
      </w:r>
      <w:r>
        <w:rPr>
          <w:szCs w:val="24"/>
          <w:lang w:eastAsia="ko-KR"/>
        </w:rPr>
        <w:t>van Deth, J. und Tausendpfund, M. (Hrsg.), Politik im Kontext: Ist alle Politik lokale Politik?</w:t>
      </w:r>
      <w:r>
        <w:rPr>
          <w:lang w:eastAsia="ko-KR"/>
        </w:rPr>
        <w:t xml:space="preserve">. </w:t>
      </w:r>
      <w:r w:rsidRPr="00752406">
        <w:rPr>
          <w:szCs w:val="24"/>
          <w:lang w:eastAsia="ko-KR"/>
        </w:rPr>
        <w:t>Wiesbaden</w:t>
      </w:r>
      <w:r w:rsidRPr="00752406">
        <w:rPr>
          <w:lang w:eastAsia="ko-KR"/>
        </w:rPr>
        <w:t>.</w:t>
      </w:r>
      <w:bookmarkEnd w:id="2"/>
    </w:p>
    <w:p w14:paraId="30AA2EEE" w14:textId="77777777" w:rsidR="00000000" w:rsidRDefault="00000000">
      <w:pPr>
        <w:pStyle w:val="Literatur"/>
        <w:ind w:left="700" w:hanging="700"/>
        <w:rPr>
          <w:rFonts w:cs="Times New Roman"/>
          <w:szCs w:val="24"/>
          <w:lang w:eastAsia="ko-KR"/>
        </w:rPr>
      </w:pPr>
      <w:r>
        <w:rPr>
          <w:rFonts w:cs="Times New Roman"/>
          <w:szCs w:val="24"/>
          <w:lang w:eastAsia="ko-KR"/>
        </w:rPr>
        <w:t>[4]</w:t>
      </w:r>
      <w:r>
        <w:rPr>
          <w:rFonts w:cs="Times New Roman"/>
          <w:szCs w:val="24"/>
          <w:lang w:eastAsia="ko-KR"/>
        </w:rPr>
        <w:tab/>
        <w:t>della Porta, D. (2015): Kritisches Vertrauen: Soziale Bewegungen und Demokratie in Krisenzeiten. In: Rössel, J. und Roose, J. (Hrsg.): Empirische Kultursoziologie. Festschrift für Jürgen Gerhards zum 60. Geburtstag. Wiesbaden.</w:t>
      </w:r>
    </w:p>
    <w:p w14:paraId="0BD73043" w14:textId="77777777" w:rsidR="00000000" w:rsidRDefault="00000000">
      <w:pPr>
        <w:pStyle w:val="WAText"/>
        <w:spacing w:before="0" w:after="0" w:line="240" w:lineRule="auto"/>
        <w:ind w:left="708" w:hanging="708"/>
        <w:rPr>
          <w:rFonts w:eastAsia="Times New Roman" w:cs="Times New Roman"/>
          <w:sz w:val="20"/>
          <w:lang w:eastAsia="ko-KR"/>
        </w:rPr>
      </w:pPr>
      <w:r>
        <w:rPr>
          <w:rFonts w:eastAsia="Times New Roman" w:cs="Times New Roman"/>
          <w:sz w:val="20"/>
          <w:lang w:eastAsia="ko-KR"/>
        </w:rPr>
        <w:t>[5]</w:t>
      </w:r>
      <w:r>
        <w:rPr>
          <w:rFonts w:eastAsia="Times New Roman" w:cs="Times New Roman"/>
          <w:sz w:val="20"/>
          <w:lang w:eastAsia="ko-KR"/>
        </w:rPr>
        <w:tab/>
        <w:t xml:space="preserve">tagesschau.de (2022): Zweiter Stresstest für Stromversorgung, verfügbar unter: </w:t>
      </w:r>
      <w:r>
        <w:rPr>
          <w:rFonts w:eastAsia="Times New Roman" w:cs="Times New Roman"/>
          <w:sz w:val="20"/>
          <w:lang w:eastAsia="ko-KR"/>
        </w:rPr>
        <w:fldChar w:fldCharType="begin"/>
      </w:r>
      <w:r>
        <w:rPr>
          <w:rFonts w:eastAsia="Times New Roman" w:cs="Times New Roman"/>
          <w:sz w:val="20"/>
          <w:lang w:eastAsia="ko-KR"/>
        </w:rPr>
        <w:instrText xml:space="preserve"> HYPERLINK "https://www.tagesschau.de/inland/stresstest-strom-101.html" </w:instrText>
      </w:r>
      <w:r>
        <w:rPr>
          <w:rFonts w:eastAsia="Times New Roman" w:cs="Times New Roman"/>
          <w:sz w:val="20"/>
          <w:lang w:eastAsia="ko-KR"/>
        </w:rPr>
        <w:fldChar w:fldCharType="separate"/>
      </w:r>
      <w:r>
        <w:rPr>
          <w:rStyle w:val="Hyperlink"/>
          <w:rFonts w:eastAsia="Times New Roman" w:cs="Times New Roman"/>
          <w:sz w:val="20"/>
          <w:lang w:eastAsia="ko-KR"/>
        </w:rPr>
        <w:t>https://www.tagesschau.de/inland/stresstest-strom-101.html</w:t>
      </w:r>
      <w:r>
        <w:rPr>
          <w:rFonts w:eastAsia="Times New Roman" w:cs="Times New Roman"/>
          <w:sz w:val="20"/>
          <w:lang w:eastAsia="ko-KR"/>
        </w:rPr>
        <w:fldChar w:fldCharType="end"/>
      </w:r>
      <w:r>
        <w:rPr>
          <w:rFonts w:eastAsia="Times New Roman" w:cs="Times New Roman"/>
          <w:sz w:val="20"/>
          <w:lang w:eastAsia="ko-KR"/>
        </w:rPr>
        <w:t>, am 11.11.2022.</w:t>
      </w:r>
    </w:p>
    <w:p w14:paraId="59633EF9" w14:textId="77777777" w:rsidR="00000000" w:rsidRDefault="00000000">
      <w:pPr>
        <w:pStyle w:val="WAText"/>
        <w:spacing w:before="0" w:after="0" w:line="240" w:lineRule="auto"/>
        <w:ind w:left="708" w:hanging="708"/>
        <w:rPr>
          <w:rFonts w:eastAsia="Times New Roman" w:cs="Times New Roman"/>
          <w:sz w:val="20"/>
          <w:lang w:eastAsia="ko-KR"/>
        </w:rPr>
      </w:pPr>
      <w:r>
        <w:rPr>
          <w:rFonts w:eastAsia="Times New Roman" w:cs="Times New Roman"/>
          <w:sz w:val="20"/>
          <w:lang w:eastAsia="ko-KR"/>
        </w:rPr>
        <w:t>[6]</w:t>
      </w:r>
      <w:r>
        <w:rPr>
          <w:rFonts w:eastAsia="Times New Roman" w:cs="Times New Roman"/>
          <w:sz w:val="20"/>
          <w:lang w:eastAsia="ko-KR"/>
        </w:rPr>
        <w:tab/>
        <w:t>Homburg, C.; Pflesser, C. und Klarmann, M.: Strukturgleichungsmodelle mit latenten</w:t>
      </w:r>
    </w:p>
    <w:p w14:paraId="4F73BEFB" w14:textId="77777777" w:rsidR="00000000" w:rsidRDefault="00000000">
      <w:pPr>
        <w:pStyle w:val="WAText"/>
        <w:spacing w:before="0" w:after="0" w:line="240" w:lineRule="auto"/>
        <w:ind w:left="708"/>
        <w:rPr>
          <w:rFonts w:eastAsia="Times New Roman" w:cs="Times New Roman"/>
          <w:sz w:val="20"/>
          <w:lang w:eastAsia="ko-KR"/>
        </w:rPr>
      </w:pPr>
      <w:r>
        <w:rPr>
          <w:rFonts w:eastAsia="Times New Roman" w:cs="Times New Roman"/>
          <w:sz w:val="20"/>
          <w:lang w:eastAsia="ko-KR"/>
        </w:rPr>
        <w:t>Variablen: Kausalanalyse; in: Herrmann, A.; Homburg C. et al. (Hg.) 2008 – Handbuch</w:t>
      </w:r>
    </w:p>
    <w:p w14:paraId="26728BEF" w14:textId="77777777" w:rsidR="00000000" w:rsidRDefault="00000000">
      <w:pPr>
        <w:pStyle w:val="WAText"/>
        <w:spacing w:before="0" w:after="0" w:line="240" w:lineRule="auto"/>
        <w:ind w:left="708"/>
        <w:rPr>
          <w:rFonts w:eastAsia="Times New Roman" w:cs="Times New Roman"/>
          <w:sz w:val="20"/>
          <w:lang w:eastAsia="ko-KR"/>
        </w:rPr>
      </w:pPr>
      <w:r>
        <w:rPr>
          <w:rFonts w:eastAsia="Times New Roman" w:cs="Times New Roman"/>
          <w:sz w:val="20"/>
          <w:lang w:eastAsia="ko-KR"/>
        </w:rPr>
        <w:t xml:space="preserve">Marktforschung; S. 549-577. </w:t>
      </w:r>
    </w:p>
    <w:p w14:paraId="136F271E" w14:textId="77777777" w:rsidR="00000000" w:rsidRDefault="00000000">
      <w:pPr>
        <w:pStyle w:val="WAText"/>
        <w:spacing w:before="0" w:after="0" w:line="240" w:lineRule="auto"/>
        <w:ind w:left="708" w:hanging="708"/>
        <w:rPr>
          <w:rFonts w:eastAsia="Times New Roman" w:cs="Times New Roman"/>
          <w:sz w:val="20"/>
          <w:lang w:eastAsia="ko-KR"/>
        </w:rPr>
      </w:pPr>
      <w:r>
        <w:rPr>
          <w:rFonts w:eastAsia="Times New Roman" w:cs="Times New Roman"/>
          <w:sz w:val="20"/>
          <w:lang w:eastAsia="ko-KR"/>
        </w:rPr>
        <w:t>[7]</w:t>
      </w:r>
      <w:r>
        <w:rPr>
          <w:rFonts w:eastAsia="Times New Roman" w:cs="Times New Roman"/>
          <w:sz w:val="20"/>
          <w:lang w:eastAsia="ko-KR"/>
        </w:rPr>
        <w:tab/>
        <w:t>GESIS</w:t>
      </w:r>
      <w:r>
        <w:t xml:space="preserve"> </w:t>
      </w:r>
      <w:r>
        <w:rPr>
          <w:rFonts w:eastAsia="Times New Roman" w:cs="Times New Roman"/>
          <w:sz w:val="20"/>
          <w:lang w:eastAsia="ko-KR"/>
        </w:rPr>
        <w:t xml:space="preserve">(2018): ALLBUS 2018 – Allgemeine Bevölkerungsumfrage der Sozialwissenschaften – Fragebogendokumentation, verfügbar unter: </w:t>
      </w:r>
      <w:hyperlink r:id="rId11" w:history="1">
        <w:r>
          <w:rPr>
            <w:rFonts w:eastAsia="Times New Roman" w:cs="Times New Roman"/>
            <w:sz w:val="20"/>
            <w:lang w:eastAsia="ko-KR"/>
          </w:rPr>
          <w:t>https://www.gesis.org/allbus/inhalte-suche/studienprofile-1980-bis-2018/2018</w:t>
        </w:r>
      </w:hyperlink>
      <w:r>
        <w:rPr>
          <w:rFonts w:eastAsia="Times New Roman" w:cs="Times New Roman"/>
          <w:sz w:val="20"/>
          <w:lang w:eastAsia="ko-KR"/>
        </w:rPr>
        <w:t>, eingesehen am 12.06.2022.</w:t>
      </w:r>
    </w:p>
    <w:p w14:paraId="2A3C74D4" w14:textId="77777777" w:rsidR="00000000" w:rsidRDefault="00000000">
      <w:pPr>
        <w:pStyle w:val="WAText"/>
        <w:spacing w:before="0" w:after="0" w:line="240" w:lineRule="auto"/>
        <w:ind w:left="708" w:hanging="708"/>
        <w:rPr>
          <w:rFonts w:eastAsia="Times New Roman" w:cs="Times New Roman"/>
          <w:sz w:val="20"/>
          <w:lang w:val="en-US" w:eastAsia="ko-KR"/>
        </w:rPr>
      </w:pPr>
      <w:r>
        <w:rPr>
          <w:rFonts w:eastAsia="Times New Roman" w:cs="Times New Roman"/>
          <w:sz w:val="20"/>
          <w:lang w:val="en-US" w:eastAsia="ko-KR"/>
        </w:rPr>
        <w:t xml:space="preserve">[8] </w:t>
      </w:r>
      <w:r>
        <w:rPr>
          <w:rFonts w:eastAsia="Times New Roman" w:cs="Times New Roman"/>
          <w:sz w:val="20"/>
          <w:lang w:val="en-US" w:eastAsia="ko-KR"/>
        </w:rPr>
        <w:tab/>
        <w:t>Ang, B. W.; Choong, W. L. und Ng, T. S. (2014): Energy Security: Definitions, dimensions and indexes, in: Elsevier (Hrsg.): Environmental Science and Policy, Singapur 2014, S. 1078-1090, </w:t>
      </w:r>
      <w:hyperlink r:id="rId12" w:history="1">
        <w:r>
          <w:rPr>
            <w:rStyle w:val="Hyperlink"/>
            <w:rFonts w:eastAsia="Times New Roman" w:cs="Times New Roman"/>
            <w:sz w:val="20"/>
            <w:lang w:val="en-US" w:eastAsia="ko-KR"/>
          </w:rPr>
          <w:t>http://dx.doi.org/10.1016/j.rser.2014.10.064</w:t>
        </w:r>
      </w:hyperlink>
      <w:r>
        <w:rPr>
          <w:rFonts w:eastAsia="Times New Roman" w:cs="Times New Roman"/>
          <w:sz w:val="20"/>
          <w:lang w:val="en-US" w:eastAsia="ko-KR"/>
        </w:rPr>
        <w:t>.</w:t>
      </w:r>
    </w:p>
    <w:p w14:paraId="6C5AB511" w14:textId="77777777" w:rsidR="00000000" w:rsidRDefault="00000000">
      <w:pPr>
        <w:pStyle w:val="WAText"/>
        <w:spacing w:before="0" w:after="0" w:line="240" w:lineRule="auto"/>
        <w:ind w:left="708" w:hanging="708"/>
        <w:rPr>
          <w:rFonts w:eastAsia="Times New Roman" w:cs="Times New Roman"/>
          <w:sz w:val="20"/>
          <w:lang w:val="en-US" w:eastAsia="ko-KR"/>
        </w:rPr>
      </w:pPr>
      <w:r>
        <w:rPr>
          <w:rFonts w:eastAsia="Times New Roman" w:cs="Times New Roman"/>
          <w:sz w:val="20"/>
          <w:lang w:val="en-US" w:eastAsia="ko-KR"/>
        </w:rPr>
        <w:t>[9]</w:t>
      </w:r>
      <w:r>
        <w:rPr>
          <w:rFonts w:eastAsia="Times New Roman" w:cs="Times New Roman"/>
          <w:sz w:val="20"/>
          <w:lang w:val="en-US" w:eastAsia="ko-KR"/>
        </w:rPr>
        <w:tab/>
        <w:t>Allen, J. (2009): Public Perceptions of Energy Security: Researching public understanding of energy behaviour and why we reduce energy., Masterabschluss-Arbeit, Exeter 2009.</w:t>
      </w:r>
    </w:p>
    <w:p w14:paraId="6EE13506" w14:textId="77777777" w:rsidR="00000000" w:rsidRPr="00752406" w:rsidRDefault="00000000">
      <w:pPr>
        <w:pStyle w:val="WAText"/>
        <w:spacing w:before="0" w:after="0" w:line="240" w:lineRule="auto"/>
        <w:rPr>
          <w:rFonts w:cs="Times New Roman"/>
          <w:lang w:val="en-US" w:eastAsia="ko-KR"/>
        </w:rPr>
      </w:pPr>
    </w:p>
    <w:p w14:paraId="50BC1E17" w14:textId="77777777" w:rsidR="00000000" w:rsidRPr="00752406" w:rsidRDefault="00000000">
      <w:pPr>
        <w:pStyle w:val="Literatur"/>
        <w:rPr>
          <w:lang w:val="en-US"/>
        </w:rPr>
      </w:pPr>
    </w:p>
    <w:p w14:paraId="5BDB3C62" w14:textId="77777777" w:rsidR="00000000" w:rsidRPr="00752406" w:rsidRDefault="00000000">
      <w:pPr>
        <w:pStyle w:val="Literatur"/>
        <w:rPr>
          <w:lang w:val="en-US"/>
        </w:rPr>
      </w:pPr>
    </w:p>
    <w:p w14:paraId="04A86840" w14:textId="77777777" w:rsidR="00481024" w:rsidRPr="00752406" w:rsidRDefault="00481024">
      <w:pPr>
        <w:pStyle w:val="Literatur"/>
        <w:ind w:left="0" w:firstLine="0"/>
        <w:rPr>
          <w:b/>
          <w:bCs/>
          <w:sz w:val="21"/>
          <w:szCs w:val="21"/>
          <w:lang w:val="en-US"/>
        </w:rPr>
      </w:pPr>
    </w:p>
    <w:sectPr w:rsidR="00481024" w:rsidRPr="0075240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E538" w14:textId="77777777" w:rsidR="00FF46EC" w:rsidRDefault="00FF46EC">
      <w:r>
        <w:separator/>
      </w:r>
    </w:p>
  </w:endnote>
  <w:endnote w:type="continuationSeparator" w:id="0">
    <w:p w14:paraId="77DBAE31" w14:textId="77777777" w:rsidR="00FF46EC" w:rsidRDefault="00F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AB33" w14:textId="77777777" w:rsidR="00FF46EC" w:rsidRDefault="00FF46EC">
      <w:r>
        <w:separator/>
      </w:r>
    </w:p>
  </w:footnote>
  <w:footnote w:type="continuationSeparator" w:id="0">
    <w:p w14:paraId="572D29B9" w14:textId="77777777" w:rsidR="00FF46EC" w:rsidRDefault="00FF46EC">
      <w:r>
        <w:continuationSeparator/>
      </w:r>
    </w:p>
  </w:footnote>
  <w:footnote w:id="1">
    <w:p w14:paraId="0D72063D" w14:textId="77777777" w:rsidR="00000000" w:rsidRDefault="00000000">
      <w:pPr>
        <w:pStyle w:val="Funotentext"/>
      </w:pPr>
      <w:r>
        <w:rPr>
          <w:rStyle w:val="Funotenzeichen"/>
        </w:rPr>
        <w:footnoteRef/>
      </w:r>
      <w:r>
        <w:t xml:space="preserve"> Jungautorin, +49 (0)1575 8802033, ann-sophie.conrad@pfalzwerke.de </w:t>
      </w:r>
    </w:p>
  </w:footnote>
  <w:footnote w:id="2">
    <w:p w14:paraId="6A660759" w14:textId="77777777" w:rsidR="00000000" w:rsidRDefault="00000000">
      <w:r>
        <w:rPr>
          <w:rStyle w:val="Funotenzeichen"/>
        </w:rPr>
        <w:footnoteRef/>
      </w:r>
      <w:r>
        <w:t xml:space="preserve"> +49 (0)711 685-60901, pascal.haebig@ier.uni-stuttgart.de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22A"/>
    <w:multiLevelType w:val="hybridMultilevel"/>
    <w:tmpl w:val="CBEE0606"/>
    <w:lvl w:ilvl="0" w:tplc="555E750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5071F"/>
    <w:multiLevelType w:val="multilevel"/>
    <w:tmpl w:val="0978BA90"/>
    <w:numStyleLink w:val="Aufzhlung"/>
  </w:abstractNum>
  <w:abstractNum w:abstractNumId="2" w15:restartNumberingAfterBreak="0">
    <w:nsid w:val="13A72B55"/>
    <w:multiLevelType w:val="hybridMultilevel"/>
    <w:tmpl w:val="D95AE1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C3697"/>
    <w:multiLevelType w:val="hybridMultilevel"/>
    <w:tmpl w:val="D6088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91212"/>
    <w:multiLevelType w:val="hybridMultilevel"/>
    <w:tmpl w:val="C98ED5B8"/>
    <w:lvl w:ilvl="0" w:tplc="89ECAB58">
      <w:start w:val="1"/>
      <w:numFmt w:val="decimal"/>
      <w:lvlText w:val="%1)"/>
      <w:lvlJc w:val="left"/>
      <w:pPr>
        <w:ind w:left="720" w:hanging="360"/>
      </w:pPr>
      <w:rPr>
        <w:rFonts w:ascii="Arial" w:eastAsia="Times New Roman" w:hAnsi="Arial" w:cs="Times New Roman"/>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970AD"/>
    <w:multiLevelType w:val="hybridMultilevel"/>
    <w:tmpl w:val="FC8AD8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D75967"/>
    <w:multiLevelType w:val="multilevel"/>
    <w:tmpl w:val="0978BA90"/>
    <w:numStyleLink w:val="Aufzhlung"/>
  </w:abstractNum>
  <w:abstractNum w:abstractNumId="8" w15:restartNumberingAfterBreak="0">
    <w:nsid w:val="6A0933A8"/>
    <w:multiLevelType w:val="hybridMultilevel"/>
    <w:tmpl w:val="19A07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86349840">
    <w:abstractNumId w:val="4"/>
  </w:num>
  <w:num w:numId="2" w16cid:durableId="1722437308">
    <w:abstractNumId w:val="9"/>
  </w:num>
  <w:num w:numId="3" w16cid:durableId="1353217114">
    <w:abstractNumId w:val="7"/>
  </w:num>
  <w:num w:numId="4" w16cid:durableId="1817990676">
    <w:abstractNumId w:val="1"/>
  </w:num>
  <w:num w:numId="5" w16cid:durableId="2006089456">
    <w:abstractNumId w:val="6"/>
  </w:num>
  <w:num w:numId="6" w16cid:durableId="421612476">
    <w:abstractNumId w:val="0"/>
  </w:num>
  <w:num w:numId="7" w16cid:durableId="751969960">
    <w:abstractNumId w:val="5"/>
  </w:num>
  <w:num w:numId="8" w16cid:durableId="924463520">
    <w:abstractNumId w:val="8"/>
  </w:num>
  <w:num w:numId="9" w16cid:durableId="2106612738">
    <w:abstractNumId w:val="3"/>
  </w:num>
  <w:num w:numId="10" w16cid:durableId="1882551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82"/>
    <w:rsid w:val="0010098C"/>
    <w:rsid w:val="001C38FC"/>
    <w:rsid w:val="00234F06"/>
    <w:rsid w:val="0032260C"/>
    <w:rsid w:val="0041107B"/>
    <w:rsid w:val="00416385"/>
    <w:rsid w:val="00481024"/>
    <w:rsid w:val="00636082"/>
    <w:rsid w:val="00752406"/>
    <w:rsid w:val="008B2EA7"/>
    <w:rsid w:val="008D0A52"/>
    <w:rsid w:val="00D41843"/>
    <w:rsid w:val="00D57D1A"/>
    <w:rsid w:val="00F0775E"/>
    <w:rsid w:val="00FC3FC0"/>
    <w:rsid w:val="00FF4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4B7B8"/>
  <w15:chartTrackingRefBased/>
  <w15:docId w15:val="{35456B6C-2189-FE4A-816B-FD2D588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Cs w:val="24"/>
      <w:lang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Pr>
      <w:vertAlign w:val="superscript"/>
    </w:rPr>
  </w:style>
  <w:style w:type="paragraph" w:styleId="Titel">
    <w:name w:val="Title"/>
    <w:basedOn w:val="Standard"/>
    <w:link w:val="TitelZchn"/>
    <w:qFormat/>
    <w:pPr>
      <w:pageBreakBefore/>
      <w:spacing w:before="120" w:after="120"/>
      <w:jc w:val="center"/>
    </w:pPr>
    <w:rPr>
      <w:b/>
      <w:snapToGrid w:val="0"/>
      <w:kern w:val="28"/>
      <w:sz w:val="32"/>
      <w:szCs w:val="20"/>
      <w:lang w:eastAsia="en-US"/>
    </w:rPr>
  </w:style>
  <w:style w:type="numbering" w:customStyle="1" w:styleId="Aufzhlung">
    <w:name w:val="Aufzählung"/>
    <w:basedOn w:val="KeineListe"/>
    <w:pPr>
      <w:numPr>
        <w:numId w:val="2"/>
      </w:numPr>
    </w:pPr>
  </w:style>
  <w:style w:type="paragraph" w:customStyle="1" w:styleId="Abbildungsbeschriftung">
    <w:name w:val="Abbildungsbeschriftung"/>
    <w:basedOn w:val="Standard"/>
    <w:rPr>
      <w:i/>
      <w:iCs/>
    </w:rPr>
  </w:style>
  <w:style w:type="character" w:customStyle="1" w:styleId="TitelZchn">
    <w:name w:val="Titel Zchn"/>
    <w:link w:val="Titel"/>
    <w:rPr>
      <w:rFonts w:ascii="Arial" w:hAnsi="Arial"/>
      <w:b/>
      <w:snapToGrid w:val="0"/>
      <w:kern w:val="28"/>
      <w:sz w:val="32"/>
      <w:lang w:val="de-DE" w:eastAsia="en-US" w:bidi="ar-SA"/>
    </w:rPr>
  </w:style>
  <w:style w:type="paragraph" w:customStyle="1" w:styleId="Ueberschrift">
    <w:name w:val="Ueberschrift"/>
    <w:basedOn w:val="Standard"/>
    <w:link w:val="UeberschriftChar"/>
    <w:pPr>
      <w:spacing w:before="120" w:after="120"/>
    </w:pPr>
    <w:rPr>
      <w:b/>
      <w:spacing w:val="-5"/>
      <w:sz w:val="22"/>
      <w:lang w:eastAsia="de-DE"/>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UeberschriftChar">
    <w:name w:val="Ueberschrift Char"/>
    <w:link w:val="Ueberschrift"/>
    <w:rPr>
      <w:rFonts w:ascii="Arial" w:hAnsi="Arial"/>
      <w:b/>
      <w:spacing w:val="-5"/>
      <w:sz w:val="22"/>
      <w:szCs w:val="24"/>
      <w:lang w:val="de-DE" w:eastAsia="de-DE" w:bidi="ar-SA"/>
    </w:rPr>
  </w:style>
  <w:style w:type="paragraph" w:customStyle="1" w:styleId="Abstract-Titel">
    <w:name w:val="Abstract-Titel"/>
    <w:basedOn w:val="Titel"/>
    <w:rPr>
      <w:rFonts w:cs="Arial"/>
    </w:rPr>
  </w:style>
  <w:style w:type="paragraph" w:customStyle="1" w:styleId="AutorenOrganisation">
    <w:name w:val="Autoren &amp; Organisation"/>
    <w:basedOn w:val="Standard"/>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link w:val="Funotentext"/>
    <w:uiPriority w:val="99"/>
    <w:semiHidden/>
    <w:rPr>
      <w:rFonts w:ascii="Arial" w:hAnsi="Arial"/>
      <w:lang w:eastAsia="ko-KR"/>
    </w:rPr>
  </w:style>
  <w:style w:type="paragraph" w:customStyle="1" w:styleId="Literatur">
    <w:name w:val="Literatur"/>
    <w:basedOn w:val="Standard"/>
    <w:pPr>
      <w:ind w:left="284" w:hanging="284"/>
    </w:pPr>
    <w:rPr>
      <w:rFonts w:cs="Arial"/>
      <w:szCs w:val="20"/>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link w:val="Kommentartext"/>
    <w:uiPriority w:val="99"/>
    <w:rPr>
      <w:rFonts w:ascii="Arial" w:hAnsi="Arial"/>
      <w:lang w:eastAsia="ko-KR"/>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ko-KR"/>
    </w:rPr>
  </w:style>
  <w:style w:type="character" w:styleId="Hyperlink">
    <w:name w:val="Hyperlink"/>
    <w:uiPriority w:val="99"/>
    <w:unhideWhenUsed/>
    <w:rPr>
      <w:color w:val="0563C1"/>
      <w:u w:val="single"/>
    </w:rPr>
  </w:style>
  <w:style w:type="character" w:styleId="NichtaufgelsteErwhnung">
    <w:name w:val="Unresolved Mention"/>
    <w:uiPriority w:val="99"/>
    <w:semiHidden/>
    <w:unhideWhenUsed/>
    <w:rPr>
      <w:color w:val="605E5C"/>
      <w:shd w:val="clear" w:color="auto" w:fill="E1DFDD"/>
    </w:rPr>
  </w:style>
  <w:style w:type="character" w:styleId="BesuchterLink">
    <w:name w:val="FollowedHyperlink"/>
    <w:uiPriority w:val="99"/>
    <w:semiHidden/>
    <w:unhideWhenUsed/>
    <w:rPr>
      <w:color w:val="954F72"/>
      <w:u w:val="single"/>
    </w:rPr>
  </w:style>
  <w:style w:type="paragraph" w:customStyle="1" w:styleId="WAText">
    <w:name w:val="W.A. Text"/>
    <w:basedOn w:val="Standard"/>
    <w:qFormat/>
    <w:pPr>
      <w:spacing w:before="240" w:after="240" w:line="360" w:lineRule="auto"/>
    </w:pPr>
    <w:rPr>
      <w:rFonts w:eastAsia="Calibri" w:cs="Arial"/>
      <w:sz w:val="24"/>
      <w:lang w:eastAsia="en-US"/>
    </w:rPr>
  </w:style>
  <w:style w:type="paragraph" w:styleId="StandardWeb">
    <w:name w:val="Normal (Web)"/>
    <w:basedOn w:val="Standard"/>
    <w:uiPriority w:val="99"/>
    <w:semiHidden/>
    <w:unhideWhenUsed/>
    <w:pPr>
      <w:spacing w:before="100" w:beforeAutospacing="1" w:after="100" w:afterAutospacing="1"/>
      <w:jc w:val="left"/>
    </w:pPr>
    <w:rPr>
      <w:rFonts w:ascii="Times New Roman" w:hAnsi="Times New Roman"/>
      <w:sz w:val="24"/>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eastAsia="ko-KR"/>
    </w:rPr>
  </w:style>
  <w:style w:type="paragraph" w:styleId="berarbeitung">
    <w:name w:val="Revision"/>
    <w:hidden/>
    <w:uiPriority w:val="99"/>
    <w:semiHidden/>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80">
      <w:bodyDiv w:val="1"/>
      <w:marLeft w:val="0"/>
      <w:marRight w:val="0"/>
      <w:marTop w:val="0"/>
      <w:marBottom w:val="0"/>
      <w:divBdr>
        <w:top w:val="none" w:sz="0" w:space="0" w:color="auto"/>
        <w:left w:val="none" w:sz="0" w:space="0" w:color="auto"/>
        <w:bottom w:val="none" w:sz="0" w:space="0" w:color="auto"/>
        <w:right w:val="none" w:sz="0" w:space="0" w:color="auto"/>
      </w:divBdr>
      <w:divsChild>
        <w:div w:id="1764063617">
          <w:marLeft w:val="0"/>
          <w:marRight w:val="0"/>
          <w:marTop w:val="0"/>
          <w:marBottom w:val="0"/>
          <w:divBdr>
            <w:top w:val="none" w:sz="0" w:space="0" w:color="auto"/>
            <w:left w:val="none" w:sz="0" w:space="0" w:color="auto"/>
            <w:bottom w:val="none" w:sz="0" w:space="0" w:color="auto"/>
            <w:right w:val="none" w:sz="0" w:space="0" w:color="auto"/>
          </w:divBdr>
          <w:divsChild>
            <w:div w:id="1001083148">
              <w:marLeft w:val="0"/>
              <w:marRight w:val="0"/>
              <w:marTop w:val="0"/>
              <w:marBottom w:val="0"/>
              <w:divBdr>
                <w:top w:val="none" w:sz="0" w:space="0" w:color="auto"/>
                <w:left w:val="none" w:sz="0" w:space="0" w:color="auto"/>
                <w:bottom w:val="none" w:sz="0" w:space="0" w:color="auto"/>
                <w:right w:val="none" w:sz="0" w:space="0" w:color="auto"/>
              </w:divBdr>
              <w:divsChild>
                <w:div w:id="19339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0702">
      <w:bodyDiv w:val="1"/>
      <w:marLeft w:val="0"/>
      <w:marRight w:val="0"/>
      <w:marTop w:val="0"/>
      <w:marBottom w:val="0"/>
      <w:divBdr>
        <w:top w:val="none" w:sz="0" w:space="0" w:color="auto"/>
        <w:left w:val="none" w:sz="0" w:space="0" w:color="auto"/>
        <w:bottom w:val="none" w:sz="0" w:space="0" w:color="auto"/>
        <w:right w:val="none" w:sz="0" w:space="0" w:color="auto"/>
      </w:divBdr>
      <w:divsChild>
        <w:div w:id="828712503">
          <w:marLeft w:val="0"/>
          <w:marRight w:val="0"/>
          <w:marTop w:val="0"/>
          <w:marBottom w:val="0"/>
          <w:divBdr>
            <w:top w:val="none" w:sz="0" w:space="0" w:color="auto"/>
            <w:left w:val="none" w:sz="0" w:space="0" w:color="auto"/>
            <w:bottom w:val="none" w:sz="0" w:space="0" w:color="auto"/>
            <w:right w:val="none" w:sz="0" w:space="0" w:color="auto"/>
          </w:divBdr>
          <w:divsChild>
            <w:div w:id="1717587000">
              <w:marLeft w:val="0"/>
              <w:marRight w:val="0"/>
              <w:marTop w:val="0"/>
              <w:marBottom w:val="0"/>
              <w:divBdr>
                <w:top w:val="none" w:sz="0" w:space="0" w:color="auto"/>
                <w:left w:val="none" w:sz="0" w:space="0" w:color="auto"/>
                <w:bottom w:val="none" w:sz="0" w:space="0" w:color="auto"/>
                <w:right w:val="none" w:sz="0" w:space="0" w:color="auto"/>
              </w:divBdr>
              <w:divsChild>
                <w:div w:id="1107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1712">
      <w:bodyDiv w:val="1"/>
      <w:marLeft w:val="0"/>
      <w:marRight w:val="0"/>
      <w:marTop w:val="0"/>
      <w:marBottom w:val="0"/>
      <w:divBdr>
        <w:top w:val="none" w:sz="0" w:space="0" w:color="auto"/>
        <w:left w:val="none" w:sz="0" w:space="0" w:color="auto"/>
        <w:bottom w:val="none" w:sz="0" w:space="0" w:color="auto"/>
        <w:right w:val="none" w:sz="0" w:space="0" w:color="auto"/>
      </w:divBdr>
      <w:divsChild>
        <w:div w:id="995062796">
          <w:marLeft w:val="0"/>
          <w:marRight w:val="0"/>
          <w:marTop w:val="0"/>
          <w:marBottom w:val="0"/>
          <w:divBdr>
            <w:top w:val="none" w:sz="0" w:space="0" w:color="auto"/>
            <w:left w:val="none" w:sz="0" w:space="0" w:color="auto"/>
            <w:bottom w:val="none" w:sz="0" w:space="0" w:color="auto"/>
            <w:right w:val="none" w:sz="0" w:space="0" w:color="auto"/>
          </w:divBdr>
          <w:divsChild>
            <w:div w:id="131677520">
              <w:marLeft w:val="0"/>
              <w:marRight w:val="0"/>
              <w:marTop w:val="0"/>
              <w:marBottom w:val="0"/>
              <w:divBdr>
                <w:top w:val="none" w:sz="0" w:space="0" w:color="auto"/>
                <w:left w:val="none" w:sz="0" w:space="0" w:color="auto"/>
                <w:bottom w:val="none" w:sz="0" w:space="0" w:color="auto"/>
                <w:right w:val="none" w:sz="0" w:space="0" w:color="auto"/>
              </w:divBdr>
              <w:divsChild>
                <w:div w:id="12790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6575">
      <w:bodyDiv w:val="1"/>
      <w:marLeft w:val="0"/>
      <w:marRight w:val="0"/>
      <w:marTop w:val="0"/>
      <w:marBottom w:val="0"/>
      <w:divBdr>
        <w:top w:val="none" w:sz="0" w:space="0" w:color="auto"/>
        <w:left w:val="none" w:sz="0" w:space="0" w:color="auto"/>
        <w:bottom w:val="none" w:sz="0" w:space="0" w:color="auto"/>
        <w:right w:val="none" w:sz="0" w:space="0" w:color="auto"/>
      </w:divBdr>
    </w:div>
    <w:div w:id="740062985">
      <w:bodyDiv w:val="1"/>
      <w:marLeft w:val="0"/>
      <w:marRight w:val="0"/>
      <w:marTop w:val="0"/>
      <w:marBottom w:val="0"/>
      <w:divBdr>
        <w:top w:val="none" w:sz="0" w:space="0" w:color="auto"/>
        <w:left w:val="none" w:sz="0" w:space="0" w:color="auto"/>
        <w:bottom w:val="none" w:sz="0" w:space="0" w:color="auto"/>
        <w:right w:val="none" w:sz="0" w:space="0" w:color="auto"/>
      </w:divBdr>
    </w:div>
    <w:div w:id="780031400">
      <w:bodyDiv w:val="1"/>
      <w:marLeft w:val="0"/>
      <w:marRight w:val="0"/>
      <w:marTop w:val="0"/>
      <w:marBottom w:val="0"/>
      <w:divBdr>
        <w:top w:val="none" w:sz="0" w:space="0" w:color="auto"/>
        <w:left w:val="none" w:sz="0" w:space="0" w:color="auto"/>
        <w:bottom w:val="none" w:sz="0" w:space="0" w:color="auto"/>
        <w:right w:val="none" w:sz="0" w:space="0" w:color="auto"/>
      </w:divBdr>
      <w:divsChild>
        <w:div w:id="740911686">
          <w:marLeft w:val="0"/>
          <w:marRight w:val="0"/>
          <w:marTop w:val="0"/>
          <w:marBottom w:val="0"/>
          <w:divBdr>
            <w:top w:val="none" w:sz="0" w:space="0" w:color="auto"/>
            <w:left w:val="none" w:sz="0" w:space="0" w:color="auto"/>
            <w:bottom w:val="none" w:sz="0" w:space="0" w:color="auto"/>
            <w:right w:val="none" w:sz="0" w:space="0" w:color="auto"/>
          </w:divBdr>
          <w:divsChild>
            <w:div w:id="717164429">
              <w:marLeft w:val="0"/>
              <w:marRight w:val="0"/>
              <w:marTop w:val="0"/>
              <w:marBottom w:val="0"/>
              <w:divBdr>
                <w:top w:val="none" w:sz="0" w:space="0" w:color="auto"/>
                <w:left w:val="none" w:sz="0" w:space="0" w:color="auto"/>
                <w:bottom w:val="none" w:sz="0" w:space="0" w:color="auto"/>
                <w:right w:val="none" w:sz="0" w:space="0" w:color="auto"/>
              </w:divBdr>
              <w:divsChild>
                <w:div w:id="1334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4401">
      <w:bodyDiv w:val="1"/>
      <w:marLeft w:val="0"/>
      <w:marRight w:val="0"/>
      <w:marTop w:val="0"/>
      <w:marBottom w:val="0"/>
      <w:divBdr>
        <w:top w:val="none" w:sz="0" w:space="0" w:color="auto"/>
        <w:left w:val="none" w:sz="0" w:space="0" w:color="auto"/>
        <w:bottom w:val="none" w:sz="0" w:space="0" w:color="auto"/>
        <w:right w:val="none" w:sz="0" w:space="0" w:color="auto"/>
      </w:divBdr>
      <w:divsChild>
        <w:div w:id="1894344199">
          <w:marLeft w:val="0"/>
          <w:marRight w:val="0"/>
          <w:marTop w:val="0"/>
          <w:marBottom w:val="0"/>
          <w:divBdr>
            <w:top w:val="none" w:sz="0" w:space="0" w:color="auto"/>
            <w:left w:val="none" w:sz="0" w:space="0" w:color="auto"/>
            <w:bottom w:val="none" w:sz="0" w:space="0" w:color="auto"/>
            <w:right w:val="none" w:sz="0" w:space="0" w:color="auto"/>
          </w:divBdr>
          <w:divsChild>
            <w:div w:id="671950039">
              <w:marLeft w:val="0"/>
              <w:marRight w:val="0"/>
              <w:marTop w:val="0"/>
              <w:marBottom w:val="0"/>
              <w:divBdr>
                <w:top w:val="none" w:sz="0" w:space="0" w:color="auto"/>
                <w:left w:val="none" w:sz="0" w:space="0" w:color="auto"/>
                <w:bottom w:val="none" w:sz="0" w:space="0" w:color="auto"/>
                <w:right w:val="none" w:sz="0" w:space="0" w:color="auto"/>
              </w:divBdr>
              <w:divsChild>
                <w:div w:id="842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9223">
      <w:bodyDiv w:val="1"/>
      <w:marLeft w:val="0"/>
      <w:marRight w:val="0"/>
      <w:marTop w:val="0"/>
      <w:marBottom w:val="0"/>
      <w:divBdr>
        <w:top w:val="none" w:sz="0" w:space="0" w:color="auto"/>
        <w:left w:val="none" w:sz="0" w:space="0" w:color="auto"/>
        <w:bottom w:val="none" w:sz="0" w:space="0" w:color="auto"/>
        <w:right w:val="none" w:sz="0" w:space="0" w:color="auto"/>
      </w:divBdr>
      <w:divsChild>
        <w:div w:id="1162501325">
          <w:marLeft w:val="0"/>
          <w:marRight w:val="0"/>
          <w:marTop w:val="0"/>
          <w:marBottom w:val="0"/>
          <w:divBdr>
            <w:top w:val="none" w:sz="0" w:space="0" w:color="auto"/>
            <w:left w:val="none" w:sz="0" w:space="0" w:color="auto"/>
            <w:bottom w:val="none" w:sz="0" w:space="0" w:color="auto"/>
            <w:right w:val="none" w:sz="0" w:space="0" w:color="auto"/>
          </w:divBdr>
          <w:divsChild>
            <w:div w:id="890771383">
              <w:marLeft w:val="0"/>
              <w:marRight w:val="0"/>
              <w:marTop w:val="0"/>
              <w:marBottom w:val="0"/>
              <w:divBdr>
                <w:top w:val="none" w:sz="0" w:space="0" w:color="auto"/>
                <w:left w:val="none" w:sz="0" w:space="0" w:color="auto"/>
                <w:bottom w:val="none" w:sz="0" w:space="0" w:color="auto"/>
                <w:right w:val="none" w:sz="0" w:space="0" w:color="auto"/>
              </w:divBdr>
              <w:divsChild>
                <w:div w:id="8004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3887">
      <w:bodyDiv w:val="1"/>
      <w:marLeft w:val="0"/>
      <w:marRight w:val="0"/>
      <w:marTop w:val="0"/>
      <w:marBottom w:val="0"/>
      <w:divBdr>
        <w:top w:val="none" w:sz="0" w:space="0" w:color="auto"/>
        <w:left w:val="none" w:sz="0" w:space="0" w:color="auto"/>
        <w:bottom w:val="none" w:sz="0" w:space="0" w:color="auto"/>
        <w:right w:val="none" w:sz="0" w:space="0" w:color="auto"/>
      </w:divBdr>
      <w:divsChild>
        <w:div w:id="1797218403">
          <w:marLeft w:val="0"/>
          <w:marRight w:val="0"/>
          <w:marTop w:val="0"/>
          <w:marBottom w:val="0"/>
          <w:divBdr>
            <w:top w:val="none" w:sz="0" w:space="0" w:color="auto"/>
            <w:left w:val="none" w:sz="0" w:space="0" w:color="auto"/>
            <w:bottom w:val="none" w:sz="0" w:space="0" w:color="auto"/>
            <w:right w:val="none" w:sz="0" w:space="0" w:color="auto"/>
          </w:divBdr>
          <w:divsChild>
            <w:div w:id="1551459748">
              <w:marLeft w:val="0"/>
              <w:marRight w:val="0"/>
              <w:marTop w:val="0"/>
              <w:marBottom w:val="0"/>
              <w:divBdr>
                <w:top w:val="none" w:sz="0" w:space="0" w:color="auto"/>
                <w:left w:val="none" w:sz="0" w:space="0" w:color="auto"/>
                <w:bottom w:val="none" w:sz="0" w:space="0" w:color="auto"/>
                <w:right w:val="none" w:sz="0" w:space="0" w:color="auto"/>
              </w:divBdr>
              <w:divsChild>
                <w:div w:id="15260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454">
      <w:bodyDiv w:val="1"/>
      <w:marLeft w:val="0"/>
      <w:marRight w:val="0"/>
      <w:marTop w:val="0"/>
      <w:marBottom w:val="0"/>
      <w:divBdr>
        <w:top w:val="none" w:sz="0" w:space="0" w:color="auto"/>
        <w:left w:val="none" w:sz="0" w:space="0" w:color="auto"/>
        <w:bottom w:val="none" w:sz="0" w:space="0" w:color="auto"/>
        <w:right w:val="none" w:sz="0" w:space="0" w:color="auto"/>
      </w:divBdr>
      <w:divsChild>
        <w:div w:id="1233735405">
          <w:marLeft w:val="0"/>
          <w:marRight w:val="0"/>
          <w:marTop w:val="0"/>
          <w:marBottom w:val="0"/>
          <w:divBdr>
            <w:top w:val="none" w:sz="0" w:space="0" w:color="auto"/>
            <w:left w:val="none" w:sz="0" w:space="0" w:color="auto"/>
            <w:bottom w:val="none" w:sz="0" w:space="0" w:color="auto"/>
            <w:right w:val="none" w:sz="0" w:space="0" w:color="auto"/>
          </w:divBdr>
          <w:divsChild>
            <w:div w:id="316031670">
              <w:marLeft w:val="0"/>
              <w:marRight w:val="0"/>
              <w:marTop w:val="0"/>
              <w:marBottom w:val="0"/>
              <w:divBdr>
                <w:top w:val="none" w:sz="0" w:space="0" w:color="auto"/>
                <w:left w:val="none" w:sz="0" w:space="0" w:color="auto"/>
                <w:bottom w:val="none" w:sz="0" w:space="0" w:color="auto"/>
                <w:right w:val="none" w:sz="0" w:space="0" w:color="auto"/>
              </w:divBdr>
              <w:divsChild>
                <w:div w:id="406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2587">
      <w:bodyDiv w:val="1"/>
      <w:marLeft w:val="0"/>
      <w:marRight w:val="0"/>
      <w:marTop w:val="0"/>
      <w:marBottom w:val="0"/>
      <w:divBdr>
        <w:top w:val="none" w:sz="0" w:space="0" w:color="auto"/>
        <w:left w:val="none" w:sz="0" w:space="0" w:color="auto"/>
        <w:bottom w:val="none" w:sz="0" w:space="0" w:color="auto"/>
        <w:right w:val="none" w:sz="0" w:space="0" w:color="auto"/>
      </w:divBdr>
      <w:divsChild>
        <w:div w:id="2044331068">
          <w:marLeft w:val="0"/>
          <w:marRight w:val="0"/>
          <w:marTop w:val="0"/>
          <w:marBottom w:val="0"/>
          <w:divBdr>
            <w:top w:val="none" w:sz="0" w:space="0" w:color="auto"/>
            <w:left w:val="none" w:sz="0" w:space="0" w:color="auto"/>
            <w:bottom w:val="none" w:sz="0" w:space="0" w:color="auto"/>
            <w:right w:val="none" w:sz="0" w:space="0" w:color="auto"/>
          </w:divBdr>
          <w:divsChild>
            <w:div w:id="1323238">
              <w:marLeft w:val="0"/>
              <w:marRight w:val="0"/>
              <w:marTop w:val="0"/>
              <w:marBottom w:val="0"/>
              <w:divBdr>
                <w:top w:val="none" w:sz="0" w:space="0" w:color="auto"/>
                <w:left w:val="none" w:sz="0" w:space="0" w:color="auto"/>
                <w:bottom w:val="none" w:sz="0" w:space="0" w:color="auto"/>
                <w:right w:val="none" w:sz="0" w:space="0" w:color="auto"/>
              </w:divBdr>
              <w:divsChild>
                <w:div w:id="19040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er.uni-stuttga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rser.2014.10.0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is.org/allbus/inhalte-suche/studienprofile-1980-bis-2018/2018"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740A-975B-4409-8F6E-571AB33F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6593</Characters>
  <Application>Microsoft Office Word</Application>
  <DocSecurity>0</DocSecurity>
  <Lines>146</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7267</CharactersWithSpaces>
  <SharedDoc>false</SharedDoc>
  <HLinks>
    <vt:vector size="24" baseType="variant">
      <vt:variant>
        <vt:i4>5505043</vt:i4>
      </vt:variant>
      <vt:variant>
        <vt:i4>9</vt:i4>
      </vt:variant>
      <vt:variant>
        <vt:i4>0</vt:i4>
      </vt:variant>
      <vt:variant>
        <vt:i4>5</vt:i4>
      </vt:variant>
      <vt:variant>
        <vt:lpwstr>http://dx.doi.org/10.1016/j.rser.2014.10.064</vt:lpwstr>
      </vt:variant>
      <vt:variant>
        <vt:lpwstr/>
      </vt:variant>
      <vt:variant>
        <vt:i4>6225937</vt:i4>
      </vt:variant>
      <vt:variant>
        <vt:i4>6</vt:i4>
      </vt:variant>
      <vt:variant>
        <vt:i4>0</vt:i4>
      </vt:variant>
      <vt:variant>
        <vt:i4>5</vt:i4>
      </vt:variant>
      <vt:variant>
        <vt:lpwstr>https://www.gesis.org/allbus/inhalte-suche/studienprofile-1980-bis-2018/2018</vt:lpwstr>
      </vt:variant>
      <vt:variant>
        <vt:lpwstr/>
      </vt:variant>
      <vt:variant>
        <vt:i4>6946871</vt:i4>
      </vt:variant>
      <vt:variant>
        <vt:i4>3</vt:i4>
      </vt:variant>
      <vt:variant>
        <vt:i4>0</vt:i4>
      </vt:variant>
      <vt:variant>
        <vt:i4>5</vt:i4>
      </vt:variant>
      <vt:variant>
        <vt:lpwstr>https://www.tagesschau.de/inland/stresstest-strom-101.html</vt:lpwstr>
      </vt:variant>
      <vt:variant>
        <vt:lpwstr/>
      </vt:variant>
      <vt:variant>
        <vt:i4>6</vt:i4>
      </vt:variant>
      <vt:variant>
        <vt:i4>0</vt:i4>
      </vt:variant>
      <vt:variant>
        <vt:i4>0</vt:i4>
      </vt:variant>
      <vt:variant>
        <vt:i4>5</vt:i4>
      </vt:variant>
      <vt:variant>
        <vt:lpwstr>http://www.ier.uni-stuttgart.de/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A. Conrad</dc:creator>
  <cp:keywords/>
  <cp:lastModifiedBy>A. Conrad</cp:lastModifiedBy>
  <cp:revision>2</cp:revision>
  <dcterms:created xsi:type="dcterms:W3CDTF">2022-11-15T13:53:00Z</dcterms:created>
  <dcterms:modified xsi:type="dcterms:W3CDTF">2022-11-15T13:53:00Z</dcterms:modified>
</cp:coreProperties>
</file>